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20" w:rsidRPr="00071BC3" w:rsidRDefault="00EF0820" w:rsidP="00EF0820">
      <w:pPr>
        <w:tabs>
          <w:tab w:val="left" w:pos="900"/>
        </w:tabs>
        <w:spacing w:line="1260" w:lineRule="exact"/>
        <w:jc w:val="center"/>
        <w:rPr>
          <w:rFonts w:ascii="cajcd fnta8" w:eastAsia="方正大标宋简体" w:hAnsi="cajcd fnta8" w:cs="Arial Unicode MS"/>
          <w:b/>
          <w:bCs/>
          <w:color w:val="FF0000"/>
          <w:kern w:val="0"/>
          <w:sz w:val="116"/>
          <w:szCs w:val="116"/>
        </w:rPr>
      </w:pPr>
      <w:r w:rsidRPr="00071BC3">
        <w:rPr>
          <w:rFonts w:ascii="cajcd fnta8" w:eastAsia="方正大标宋简体" w:hAnsi="cajcd fnta8" w:cs="Arial Unicode MS"/>
          <w:b/>
          <w:bCs/>
          <w:color w:val="FF0000"/>
          <w:spacing w:val="2"/>
          <w:w w:val="66"/>
          <w:kern w:val="0"/>
          <w:sz w:val="116"/>
          <w:szCs w:val="116"/>
        </w:rPr>
        <w:t>材料科学与技术学院文</w:t>
      </w:r>
      <w:r w:rsidRPr="00071BC3">
        <w:rPr>
          <w:rFonts w:ascii="cajcd fnta8" w:eastAsia="方正大标宋简体" w:hAnsi="cajcd fnta8" w:cs="Arial Unicode MS"/>
          <w:b/>
          <w:bCs/>
          <w:color w:val="FF0000"/>
          <w:spacing w:val="-9"/>
          <w:w w:val="66"/>
          <w:kern w:val="0"/>
          <w:sz w:val="116"/>
          <w:szCs w:val="116"/>
        </w:rPr>
        <w:t>件</w:t>
      </w:r>
    </w:p>
    <w:p w:rsidR="00EF0820" w:rsidRDefault="00EF0820" w:rsidP="00EF0820">
      <w:pPr>
        <w:spacing w:line="1260" w:lineRule="exact"/>
        <w:jc w:val="center"/>
        <w:outlineLvl w:val="0"/>
        <w:rPr>
          <w:rFonts w:ascii="仿宋_GB2312" w:eastAsia="仿宋_GB2312" w:hAnsi="cajcd fnta8" w:cs="Arial Unicode MS" w:hint="eastAsia"/>
          <w:b/>
          <w:color w:val="FF0000"/>
          <w:kern w:val="0"/>
          <w:sz w:val="32"/>
          <w:szCs w:val="32"/>
        </w:rPr>
      </w:pPr>
      <w:bookmarkStart w:id="0" w:name="_Toc420679025"/>
      <w:bookmarkStart w:id="1" w:name="_Toc421261146"/>
      <w:bookmarkStart w:id="2" w:name="_Toc421817173"/>
      <w:bookmarkStart w:id="3" w:name="_Toc425950290"/>
      <w:bookmarkStart w:id="4" w:name="_Toc429752975"/>
      <w:bookmarkStart w:id="5" w:name="_Toc429989973"/>
      <w:bookmarkStart w:id="6" w:name="_Toc430592057"/>
      <w:bookmarkStart w:id="7" w:name="_Toc430607746"/>
      <w:bookmarkStart w:id="8" w:name="_Toc31750"/>
      <w:bookmarkStart w:id="9" w:name="_Toc444518130"/>
      <w:proofErr w:type="gramStart"/>
      <w:r>
        <w:rPr>
          <w:rFonts w:ascii="仿宋_GB2312" w:eastAsia="仿宋_GB2312" w:hint="eastAsia"/>
          <w:bCs/>
          <w:w w:val="97"/>
          <w:kern w:val="0"/>
          <w:sz w:val="32"/>
          <w:szCs w:val="72"/>
        </w:rPr>
        <w:t>院教字</w:t>
      </w:r>
      <w:proofErr w:type="gramEnd"/>
      <w:r>
        <w:rPr>
          <w:rFonts w:ascii="仿宋_GB2312" w:eastAsia="仿宋_GB2312" w:hint="eastAsia"/>
          <w:bCs/>
          <w:w w:val="97"/>
          <w:kern w:val="0"/>
          <w:sz w:val="32"/>
          <w:szCs w:val="72"/>
        </w:rPr>
        <w:t>〔</w:t>
      </w:r>
      <w:r>
        <w:rPr>
          <w:rFonts w:ascii="仿宋_GB2312" w:eastAsia="仿宋_GB2312" w:hAnsi="宋体" w:hint="eastAsia"/>
          <w:bCs/>
          <w:w w:val="97"/>
          <w:kern w:val="0"/>
          <w:sz w:val="32"/>
          <w:szCs w:val="72"/>
        </w:rPr>
        <w:t>2013</w:t>
      </w:r>
      <w:r>
        <w:rPr>
          <w:rFonts w:ascii="仿宋_GB2312" w:eastAsia="仿宋_GB2312" w:hint="eastAsia"/>
          <w:bCs/>
          <w:w w:val="97"/>
          <w:kern w:val="0"/>
          <w:sz w:val="32"/>
          <w:szCs w:val="72"/>
        </w:rPr>
        <w:t>〕1号              签发：</w:t>
      </w:r>
      <w:r>
        <w:rPr>
          <w:rFonts w:ascii="仿宋_GB2312" w:eastAsia="仿宋_GB2312" w:hint="eastAsia"/>
          <w:bCs/>
          <w:w w:val="97"/>
          <w:kern w:val="0"/>
          <w:sz w:val="32"/>
          <w:szCs w:val="32"/>
        </w:rPr>
        <w:t>何建</w:t>
      </w:r>
      <w:r>
        <w:rPr>
          <w:rFonts w:ascii="仿宋_GB2312" w:eastAsia="仿宋_GB2312" w:hint="eastAsia"/>
          <w:bCs/>
          <w:spacing w:val="32"/>
          <w:w w:val="97"/>
          <w:kern w:val="0"/>
          <w:sz w:val="32"/>
          <w:szCs w:val="32"/>
        </w:rPr>
        <w:t>平</w:t>
      </w:r>
      <w:bookmarkEnd w:id="0"/>
      <w:bookmarkEnd w:id="1"/>
      <w:bookmarkEnd w:id="2"/>
      <w:bookmarkEnd w:id="3"/>
      <w:bookmarkEnd w:id="4"/>
      <w:bookmarkEnd w:id="5"/>
      <w:bookmarkEnd w:id="6"/>
      <w:bookmarkEnd w:id="7"/>
      <w:bookmarkEnd w:id="8"/>
      <w:bookmarkEnd w:id="9"/>
    </w:p>
    <w:p w:rsidR="00EF0820" w:rsidRDefault="00EF0820" w:rsidP="00EF0820">
      <w:pPr>
        <w:jc w:val="center"/>
        <w:rPr>
          <w:b/>
          <w:bCs/>
          <w:sz w:val="36"/>
        </w:rPr>
      </w:pPr>
      <w:r>
        <w:pict>
          <v:rect id="Rectangle 2" o:spid="_x0000_i1025" style="width:415.3pt;height:3pt" o:preferrelative="t" o:hrstd="t" o:hrnoshade="t" o:hr="t" fillcolor="red" stroked="f"/>
        </w:pict>
      </w:r>
    </w:p>
    <w:p w:rsidR="00EF0820" w:rsidRDefault="00EF0820" w:rsidP="00EF0820">
      <w:pPr>
        <w:jc w:val="center"/>
      </w:pPr>
      <w:r>
        <w:pict>
          <v:rect id="Rectangle 3" o:spid="_x0000_i1026" style="width:456.45pt;height:3pt" o:preferrelative="t" o:hrstd="t" o:hrnoshade="t" o:hr="t" stroked="f"/>
        </w:pict>
      </w:r>
    </w:p>
    <w:p w:rsidR="00EF0820" w:rsidRDefault="00EF0820" w:rsidP="00EF0820">
      <w:pPr>
        <w:spacing w:line="360" w:lineRule="auto"/>
        <w:jc w:val="center"/>
        <w:outlineLvl w:val="0"/>
        <w:rPr>
          <w:b/>
          <w:sz w:val="28"/>
          <w:szCs w:val="28"/>
        </w:rPr>
      </w:pPr>
      <w:bookmarkStart w:id="10" w:name="_Toc419301929"/>
      <w:bookmarkStart w:id="11" w:name="_Toc420679026"/>
      <w:bookmarkStart w:id="12" w:name="_Toc421261147"/>
      <w:bookmarkStart w:id="13" w:name="_Toc421817174"/>
      <w:bookmarkStart w:id="14" w:name="_Toc425950291"/>
      <w:bookmarkStart w:id="15" w:name="_Toc429752976"/>
      <w:bookmarkStart w:id="16" w:name="_Toc429989974"/>
      <w:bookmarkStart w:id="17" w:name="_Toc430592058"/>
      <w:bookmarkStart w:id="18" w:name="_Toc430607747"/>
      <w:bookmarkStart w:id="19" w:name="_Toc17635"/>
      <w:bookmarkStart w:id="20" w:name="_Toc444518131"/>
      <w:bookmarkStart w:id="21" w:name="_GoBack"/>
      <w:r>
        <w:rPr>
          <w:rFonts w:hint="eastAsia"/>
          <w:b/>
          <w:sz w:val="28"/>
          <w:szCs w:val="28"/>
        </w:rPr>
        <w:t>材料科学与技术学院本科课程试卷命题、批改、归档工作管理办法</w:t>
      </w:r>
      <w:bookmarkEnd w:id="10"/>
      <w:bookmarkEnd w:id="11"/>
      <w:bookmarkEnd w:id="12"/>
      <w:bookmarkEnd w:id="13"/>
      <w:bookmarkEnd w:id="14"/>
      <w:bookmarkEnd w:id="15"/>
      <w:bookmarkEnd w:id="16"/>
      <w:bookmarkEnd w:id="17"/>
      <w:bookmarkEnd w:id="18"/>
      <w:bookmarkEnd w:id="19"/>
      <w:bookmarkEnd w:id="20"/>
    </w:p>
    <w:bookmarkEnd w:id="21"/>
    <w:p w:rsidR="00EF0820" w:rsidRDefault="00EF0820" w:rsidP="00EF0820">
      <w:pPr>
        <w:spacing w:line="360" w:lineRule="auto"/>
        <w:jc w:val="center"/>
        <w:rPr>
          <w:sz w:val="28"/>
          <w:szCs w:val="28"/>
        </w:rPr>
      </w:pPr>
    </w:p>
    <w:p w:rsidR="00EF0820" w:rsidRDefault="00EF0820" w:rsidP="00EF0820">
      <w:pPr>
        <w:spacing w:line="360" w:lineRule="auto"/>
        <w:ind w:firstLineChars="200" w:firstLine="480"/>
        <w:rPr>
          <w:sz w:val="24"/>
        </w:rPr>
      </w:pPr>
      <w:r>
        <w:rPr>
          <w:rFonts w:hint="eastAsia"/>
          <w:sz w:val="24"/>
        </w:rPr>
        <w:t>为进一步规范我院试卷命题、批改、归档的管理工作，在教务处相关规定的基础上，制定本管理办法：</w:t>
      </w:r>
    </w:p>
    <w:p w:rsidR="00EF0820" w:rsidRDefault="00EF0820" w:rsidP="00EF0820">
      <w:pPr>
        <w:numPr>
          <w:ilvl w:val="0"/>
          <w:numId w:val="1"/>
        </w:numPr>
        <w:tabs>
          <w:tab w:val="clear" w:pos="900"/>
          <w:tab w:val="left" w:pos="0"/>
        </w:tabs>
        <w:spacing w:line="360" w:lineRule="auto"/>
        <w:ind w:left="0" w:firstLine="426"/>
        <w:rPr>
          <w:sz w:val="24"/>
        </w:rPr>
      </w:pPr>
      <w:r>
        <w:rPr>
          <w:rFonts w:hint="eastAsia"/>
          <w:sz w:val="24"/>
        </w:rPr>
        <w:t>本管理办法适用于材料学院所有本科生课程（含实验课程）的试卷命题、批改、归档的工作。</w:t>
      </w:r>
    </w:p>
    <w:p w:rsidR="00EF0820" w:rsidRDefault="00EF0820" w:rsidP="00EF0820">
      <w:pPr>
        <w:numPr>
          <w:ilvl w:val="0"/>
          <w:numId w:val="1"/>
        </w:numPr>
        <w:tabs>
          <w:tab w:val="clear" w:pos="900"/>
          <w:tab w:val="left" w:pos="0"/>
        </w:tabs>
        <w:spacing w:line="360" w:lineRule="auto"/>
        <w:ind w:left="0" w:firstLine="426"/>
        <w:rPr>
          <w:sz w:val="24"/>
        </w:rPr>
      </w:pPr>
      <w:r>
        <w:rPr>
          <w:rFonts w:hint="eastAsia"/>
          <w:sz w:val="24"/>
        </w:rPr>
        <w:t>试卷的命题工作应根据本课程的教学大纲进行，由主考人命题，经同行评议、系领导批准后提交</w:t>
      </w:r>
      <w:proofErr w:type="gramStart"/>
      <w:r>
        <w:rPr>
          <w:rFonts w:hint="eastAsia"/>
          <w:sz w:val="24"/>
        </w:rPr>
        <w:t>给考试</w:t>
      </w:r>
      <w:proofErr w:type="gramEnd"/>
      <w:r>
        <w:rPr>
          <w:rFonts w:hint="eastAsia"/>
          <w:sz w:val="24"/>
        </w:rPr>
        <w:t>中心或印刷厂。试题范围应覆盖大纲中的所有知识要点，其中，重点内容分值较高，可由大题（计算题、问答题）体现，一般内容分值较低，可由小题（填空题、选择题）体现。要避免从教科书中的部分段落抽出几个字作为填空题、同一个概念重复考、一般概念重点考（分值过高）等现象。同一期试卷中的</w:t>
      </w:r>
      <w:r>
        <w:rPr>
          <w:rFonts w:hint="eastAsia"/>
          <w:sz w:val="24"/>
        </w:rPr>
        <w:t>A</w:t>
      </w:r>
      <w:r>
        <w:rPr>
          <w:rFonts w:hint="eastAsia"/>
          <w:sz w:val="24"/>
        </w:rPr>
        <w:t>、</w:t>
      </w:r>
      <w:r>
        <w:rPr>
          <w:rFonts w:hint="eastAsia"/>
          <w:sz w:val="24"/>
        </w:rPr>
        <w:t>B</w:t>
      </w:r>
      <w:r>
        <w:rPr>
          <w:rFonts w:hint="eastAsia"/>
          <w:sz w:val="24"/>
        </w:rPr>
        <w:t>卷，以及与前一次的试卷之间的重复率不应高于</w:t>
      </w:r>
      <w:r>
        <w:rPr>
          <w:rFonts w:hint="eastAsia"/>
          <w:sz w:val="24"/>
        </w:rPr>
        <w:t>20%</w:t>
      </w:r>
      <w:r>
        <w:rPr>
          <w:rFonts w:hint="eastAsia"/>
          <w:sz w:val="24"/>
        </w:rPr>
        <w:t>。</w:t>
      </w:r>
    </w:p>
    <w:p w:rsidR="00EF0820" w:rsidRDefault="00EF0820" w:rsidP="00EF0820">
      <w:pPr>
        <w:numPr>
          <w:ilvl w:val="0"/>
          <w:numId w:val="1"/>
        </w:numPr>
        <w:tabs>
          <w:tab w:val="clear" w:pos="900"/>
          <w:tab w:val="left" w:pos="0"/>
        </w:tabs>
        <w:spacing w:line="360" w:lineRule="auto"/>
        <w:ind w:left="0" w:firstLine="426"/>
        <w:rPr>
          <w:sz w:val="24"/>
        </w:rPr>
      </w:pPr>
      <w:r>
        <w:rPr>
          <w:rFonts w:hint="eastAsia"/>
          <w:sz w:val="24"/>
        </w:rPr>
        <w:t>试卷的批改标志要明确，正确的地方打勾（</w:t>
      </w:r>
      <w:r>
        <w:rPr>
          <w:rFonts w:hint="eastAsia"/>
          <w:sz w:val="24"/>
        </w:rPr>
        <w:sym w:font="Wingdings" w:char="F0FC"/>
      </w:r>
      <w:r>
        <w:rPr>
          <w:rFonts w:hint="eastAsia"/>
          <w:sz w:val="24"/>
        </w:rPr>
        <w:t>），错误的地方</w:t>
      </w:r>
      <w:proofErr w:type="gramStart"/>
      <w:r>
        <w:rPr>
          <w:rFonts w:hint="eastAsia"/>
          <w:sz w:val="24"/>
        </w:rPr>
        <w:t>打叉</w:t>
      </w:r>
      <w:proofErr w:type="gramEnd"/>
      <w:r>
        <w:rPr>
          <w:rFonts w:hint="eastAsia"/>
          <w:sz w:val="24"/>
        </w:rPr>
        <w:t>（×），计算题和问答题每题要标明该小题的扣分或得分，填空题、选择题、计算题和问答题等同种类型的题目要标明该类型题目总的得分，填写在每一大题的得分栏内，并在汇总表中相加得出该试卷的总成绩，如对已经标明的正确或错误以及已经标明的分数需要修改，则应由批改者在修改处签名。</w:t>
      </w:r>
    </w:p>
    <w:p w:rsidR="00EF0820" w:rsidRDefault="00EF0820" w:rsidP="00EF0820">
      <w:pPr>
        <w:numPr>
          <w:ilvl w:val="0"/>
          <w:numId w:val="1"/>
        </w:numPr>
        <w:tabs>
          <w:tab w:val="clear" w:pos="900"/>
          <w:tab w:val="left" w:pos="0"/>
        </w:tabs>
        <w:spacing w:line="360" w:lineRule="auto"/>
        <w:ind w:left="0" w:firstLine="426"/>
        <w:rPr>
          <w:sz w:val="24"/>
        </w:rPr>
      </w:pPr>
      <w:r>
        <w:rPr>
          <w:rFonts w:hint="eastAsia"/>
          <w:sz w:val="24"/>
        </w:rPr>
        <w:t>试卷批改后，批改者应将试卷卷面成绩、平时成绩（如本课程开设实验，且实验未单独设课，还应包括实验成绩）汇总到成绩单中，将所有试卷按学生名单顺序排列，连同</w:t>
      </w:r>
      <w:r>
        <w:rPr>
          <w:rFonts w:hint="eastAsia"/>
          <w:sz w:val="24"/>
        </w:rPr>
        <w:t>A</w:t>
      </w:r>
      <w:r>
        <w:rPr>
          <w:rFonts w:hint="eastAsia"/>
          <w:sz w:val="24"/>
        </w:rPr>
        <w:t>、</w:t>
      </w:r>
      <w:r>
        <w:rPr>
          <w:rFonts w:hint="eastAsia"/>
          <w:sz w:val="24"/>
        </w:rPr>
        <w:t>B</w:t>
      </w:r>
      <w:r>
        <w:rPr>
          <w:rFonts w:hint="eastAsia"/>
          <w:sz w:val="24"/>
        </w:rPr>
        <w:t>卷及其答案、成绩单（含平时成绩）提交学院教学办公室归档保存。不停课考试的归档材料的提交时间最迟为本学期末，补考以及停课考试的归档材料的提交时间最迟为下学期开学补考结束一周内。归档材料共</w:t>
      </w:r>
      <w:r>
        <w:rPr>
          <w:rFonts w:hint="eastAsia"/>
          <w:sz w:val="24"/>
        </w:rPr>
        <w:t>6</w:t>
      </w:r>
      <w:r>
        <w:rPr>
          <w:rFonts w:hint="eastAsia"/>
          <w:sz w:val="24"/>
        </w:rPr>
        <w:t>项，清单如下：</w:t>
      </w:r>
    </w:p>
    <w:p w:rsidR="00EF0820" w:rsidRDefault="00EF0820" w:rsidP="00EF0820">
      <w:pPr>
        <w:numPr>
          <w:ilvl w:val="0"/>
          <w:numId w:val="2"/>
        </w:numPr>
        <w:tabs>
          <w:tab w:val="clear" w:pos="1260"/>
          <w:tab w:val="left" w:pos="851"/>
        </w:tabs>
        <w:spacing w:line="360" w:lineRule="auto"/>
        <w:ind w:left="851"/>
        <w:rPr>
          <w:sz w:val="24"/>
        </w:rPr>
      </w:pPr>
      <w:r>
        <w:rPr>
          <w:rFonts w:hint="eastAsia"/>
          <w:sz w:val="24"/>
        </w:rPr>
        <w:t>全部试卷；</w:t>
      </w:r>
    </w:p>
    <w:p w:rsidR="00EF0820" w:rsidRDefault="00EF0820" w:rsidP="00EF0820">
      <w:pPr>
        <w:numPr>
          <w:ilvl w:val="0"/>
          <w:numId w:val="2"/>
        </w:numPr>
        <w:tabs>
          <w:tab w:val="clear" w:pos="1260"/>
          <w:tab w:val="left" w:pos="851"/>
        </w:tabs>
        <w:spacing w:line="360" w:lineRule="auto"/>
        <w:ind w:left="851"/>
        <w:rPr>
          <w:sz w:val="24"/>
        </w:rPr>
      </w:pPr>
      <w:r>
        <w:rPr>
          <w:rFonts w:hint="eastAsia"/>
          <w:sz w:val="24"/>
        </w:rPr>
        <w:t>试卷样本及其参考答案（含</w:t>
      </w:r>
      <w:r>
        <w:rPr>
          <w:rFonts w:hint="eastAsia"/>
          <w:sz w:val="24"/>
        </w:rPr>
        <w:t>A</w:t>
      </w:r>
      <w:r>
        <w:rPr>
          <w:rFonts w:hint="eastAsia"/>
          <w:sz w:val="24"/>
        </w:rPr>
        <w:t>、</w:t>
      </w:r>
      <w:r>
        <w:rPr>
          <w:rFonts w:hint="eastAsia"/>
          <w:sz w:val="24"/>
        </w:rPr>
        <w:t>B</w:t>
      </w:r>
      <w:r>
        <w:rPr>
          <w:rFonts w:hint="eastAsia"/>
          <w:sz w:val="24"/>
        </w:rPr>
        <w:t>卷）；</w:t>
      </w:r>
    </w:p>
    <w:p w:rsidR="00EF0820" w:rsidRDefault="00EF0820" w:rsidP="00EF0820">
      <w:pPr>
        <w:numPr>
          <w:ilvl w:val="0"/>
          <w:numId w:val="2"/>
        </w:numPr>
        <w:tabs>
          <w:tab w:val="clear" w:pos="1260"/>
          <w:tab w:val="left" w:pos="851"/>
        </w:tabs>
        <w:spacing w:line="360" w:lineRule="auto"/>
        <w:ind w:left="851"/>
        <w:rPr>
          <w:sz w:val="24"/>
        </w:rPr>
      </w:pPr>
      <w:r>
        <w:rPr>
          <w:rFonts w:hint="eastAsia"/>
          <w:sz w:val="24"/>
        </w:rPr>
        <w:t>学生成绩清单，详细内容包括：卷面成绩，平时成绩，实验成绩，</w:t>
      </w:r>
      <w:r>
        <w:rPr>
          <w:rFonts w:hint="eastAsia"/>
          <w:sz w:val="24"/>
        </w:rPr>
        <w:tab/>
      </w:r>
      <w:r>
        <w:rPr>
          <w:rFonts w:hint="eastAsia"/>
          <w:sz w:val="24"/>
        </w:rPr>
        <w:t>综合成</w:t>
      </w:r>
      <w:r>
        <w:rPr>
          <w:rFonts w:hint="eastAsia"/>
          <w:sz w:val="24"/>
        </w:rPr>
        <w:lastRenderedPageBreak/>
        <w:t>绩（即报送成绩）；</w:t>
      </w:r>
    </w:p>
    <w:p w:rsidR="00EF0820" w:rsidRDefault="00EF0820" w:rsidP="00EF0820">
      <w:pPr>
        <w:numPr>
          <w:ilvl w:val="0"/>
          <w:numId w:val="2"/>
        </w:numPr>
        <w:tabs>
          <w:tab w:val="clear" w:pos="1260"/>
          <w:tab w:val="left" w:pos="851"/>
        </w:tabs>
        <w:spacing w:line="360" w:lineRule="auto"/>
        <w:ind w:left="851"/>
        <w:rPr>
          <w:sz w:val="24"/>
        </w:rPr>
      </w:pPr>
      <w:r>
        <w:rPr>
          <w:rFonts w:hint="eastAsia"/>
          <w:sz w:val="24"/>
        </w:rPr>
        <w:t>试卷分析表；</w:t>
      </w:r>
    </w:p>
    <w:p w:rsidR="00EF0820" w:rsidRDefault="00EF0820" w:rsidP="00EF0820">
      <w:pPr>
        <w:numPr>
          <w:ilvl w:val="0"/>
          <w:numId w:val="2"/>
        </w:numPr>
        <w:tabs>
          <w:tab w:val="clear" w:pos="1260"/>
          <w:tab w:val="left" w:pos="851"/>
        </w:tabs>
        <w:spacing w:line="360" w:lineRule="auto"/>
        <w:ind w:left="851"/>
        <w:rPr>
          <w:sz w:val="24"/>
        </w:rPr>
      </w:pPr>
      <w:r>
        <w:rPr>
          <w:rFonts w:hint="eastAsia"/>
          <w:sz w:val="24"/>
        </w:rPr>
        <w:t>学生考试签到表；</w:t>
      </w:r>
    </w:p>
    <w:p w:rsidR="00EF0820" w:rsidRDefault="00EF0820" w:rsidP="00EF0820">
      <w:pPr>
        <w:numPr>
          <w:ilvl w:val="0"/>
          <w:numId w:val="2"/>
        </w:numPr>
        <w:tabs>
          <w:tab w:val="clear" w:pos="1260"/>
          <w:tab w:val="left" w:pos="851"/>
        </w:tabs>
        <w:spacing w:line="360" w:lineRule="auto"/>
        <w:ind w:left="851"/>
        <w:rPr>
          <w:sz w:val="24"/>
        </w:rPr>
      </w:pPr>
      <w:r>
        <w:rPr>
          <w:rFonts w:hint="eastAsia"/>
          <w:sz w:val="24"/>
        </w:rPr>
        <w:t>考场记录回执。</w:t>
      </w:r>
    </w:p>
    <w:p w:rsidR="00EF0820" w:rsidRDefault="00EF0820" w:rsidP="00EF0820">
      <w:pPr>
        <w:tabs>
          <w:tab w:val="left" w:pos="851"/>
          <w:tab w:val="left" w:pos="1260"/>
        </w:tabs>
        <w:spacing w:line="360" w:lineRule="auto"/>
        <w:rPr>
          <w:sz w:val="24"/>
        </w:rPr>
      </w:pPr>
      <w:r>
        <w:rPr>
          <w:rFonts w:hint="eastAsia"/>
          <w:sz w:val="24"/>
        </w:rPr>
        <w:t xml:space="preserve">    </w:t>
      </w:r>
      <w:r>
        <w:rPr>
          <w:rFonts w:hint="eastAsia"/>
          <w:sz w:val="24"/>
        </w:rPr>
        <w:t>学院教学办公室教学秘书根据上述清单逐一检查归档材料是否齐全，如有缺项，则应要求提交者及时补齐。</w:t>
      </w:r>
    </w:p>
    <w:p w:rsidR="00EF0820" w:rsidRDefault="00EF0820" w:rsidP="00EF0820">
      <w:pPr>
        <w:numPr>
          <w:ilvl w:val="0"/>
          <w:numId w:val="1"/>
        </w:numPr>
        <w:tabs>
          <w:tab w:val="clear" w:pos="900"/>
          <w:tab w:val="left" w:pos="0"/>
        </w:tabs>
        <w:spacing w:line="360" w:lineRule="auto"/>
        <w:ind w:left="0" w:firstLine="426"/>
        <w:rPr>
          <w:sz w:val="24"/>
        </w:rPr>
      </w:pPr>
      <w:r>
        <w:rPr>
          <w:rFonts w:hint="eastAsia"/>
          <w:sz w:val="24"/>
        </w:rPr>
        <w:t>实验课应根据平时实验到课情况、实验操作完成质量、实验报告完成质量给出实验成绩。</w:t>
      </w:r>
      <w:proofErr w:type="gramStart"/>
      <w:r>
        <w:rPr>
          <w:rFonts w:hint="eastAsia"/>
          <w:sz w:val="24"/>
        </w:rPr>
        <w:t>有缺做实验</w:t>
      </w:r>
      <w:proofErr w:type="gramEnd"/>
      <w:r>
        <w:rPr>
          <w:rFonts w:hint="eastAsia"/>
          <w:sz w:val="24"/>
        </w:rPr>
        <w:t>、缺交报告者，实验成绩按零分计。</w:t>
      </w:r>
    </w:p>
    <w:p w:rsidR="00EF0820" w:rsidRDefault="00EF0820" w:rsidP="00EF0820">
      <w:pPr>
        <w:numPr>
          <w:ilvl w:val="0"/>
          <w:numId w:val="1"/>
        </w:numPr>
        <w:tabs>
          <w:tab w:val="clear" w:pos="900"/>
          <w:tab w:val="left" w:pos="0"/>
        </w:tabs>
        <w:spacing w:line="360" w:lineRule="auto"/>
        <w:ind w:left="0" w:firstLine="426"/>
        <w:rPr>
          <w:sz w:val="24"/>
        </w:rPr>
      </w:pPr>
      <w:r>
        <w:rPr>
          <w:rFonts w:hint="eastAsia"/>
          <w:sz w:val="24"/>
        </w:rPr>
        <w:t>对由于课程性质等特殊原因而需要采用与本管理办法不同的考核方法的课程，须由课程组事先提出书面申请，经系教学主任审核后，报学院教学管理办公室备案后方可实施。</w:t>
      </w:r>
    </w:p>
    <w:p w:rsidR="00EF0820" w:rsidRDefault="00EF0820" w:rsidP="00EF0820">
      <w:pPr>
        <w:spacing w:line="360" w:lineRule="auto"/>
        <w:ind w:firstLineChars="177" w:firstLine="425"/>
        <w:rPr>
          <w:sz w:val="24"/>
        </w:rPr>
      </w:pPr>
      <w:r>
        <w:rPr>
          <w:rFonts w:hint="eastAsia"/>
          <w:sz w:val="24"/>
        </w:rPr>
        <w:t>本办法自正式公布之日起执行，如有违反本办法者，除责成其限期纠正外，将由学院酌情给予处分或处罚。</w:t>
      </w:r>
    </w:p>
    <w:p w:rsidR="00EF0820" w:rsidRDefault="00EF0820" w:rsidP="00EF0820">
      <w:pPr>
        <w:spacing w:line="360" w:lineRule="auto"/>
        <w:rPr>
          <w:sz w:val="24"/>
        </w:rPr>
      </w:pPr>
    </w:p>
    <w:p w:rsidR="00EF0820" w:rsidRDefault="00EF0820" w:rsidP="00EF0820">
      <w:pPr>
        <w:spacing w:line="360" w:lineRule="auto"/>
        <w:rPr>
          <w:sz w:val="24"/>
        </w:rPr>
      </w:pPr>
    </w:p>
    <w:p w:rsidR="00EF0820" w:rsidRDefault="00EF0820" w:rsidP="00EF0820">
      <w:pPr>
        <w:spacing w:line="360" w:lineRule="auto"/>
        <w:rPr>
          <w:sz w:val="24"/>
        </w:rPr>
      </w:pPr>
    </w:p>
    <w:p w:rsidR="00EF0820" w:rsidRDefault="00EF0820" w:rsidP="00EF0820">
      <w:pPr>
        <w:spacing w:line="360" w:lineRule="auto"/>
        <w:rPr>
          <w:sz w:val="24"/>
        </w:rPr>
      </w:pPr>
    </w:p>
    <w:p w:rsidR="00EF0820" w:rsidRDefault="00EF0820" w:rsidP="00EF0820">
      <w:pPr>
        <w:spacing w:line="360" w:lineRule="auto"/>
        <w:ind w:left="480"/>
        <w:jc w:val="center"/>
        <w:rPr>
          <w:sz w:val="24"/>
        </w:rPr>
      </w:pPr>
    </w:p>
    <w:p w:rsidR="00EF0820" w:rsidRDefault="00EF0820" w:rsidP="00EF0820">
      <w:pPr>
        <w:spacing w:line="360" w:lineRule="auto"/>
        <w:ind w:left="480" w:firstLine="5457"/>
        <w:jc w:val="center"/>
        <w:rPr>
          <w:sz w:val="24"/>
        </w:rPr>
      </w:pPr>
      <w:r>
        <w:rPr>
          <w:rFonts w:hint="eastAsia"/>
          <w:sz w:val="24"/>
        </w:rPr>
        <w:t>材料科学与技术学院</w:t>
      </w:r>
    </w:p>
    <w:p w:rsidR="00EF0820" w:rsidRDefault="00EF0820" w:rsidP="00EF0820">
      <w:pPr>
        <w:spacing w:line="360" w:lineRule="auto"/>
        <w:ind w:left="480"/>
        <w:jc w:val="right"/>
        <w:rPr>
          <w:sz w:val="24"/>
        </w:rPr>
      </w:pPr>
      <w:r>
        <w:rPr>
          <w:sz w:val="24"/>
        </w:rPr>
        <w:t>2013</w:t>
      </w:r>
      <w:r>
        <w:rPr>
          <w:rFonts w:hint="eastAsia"/>
          <w:sz w:val="24"/>
        </w:rPr>
        <w:t>年</w:t>
      </w:r>
      <w:r>
        <w:rPr>
          <w:rFonts w:hint="eastAsia"/>
          <w:sz w:val="24"/>
        </w:rPr>
        <w:t>6</w:t>
      </w:r>
      <w:r>
        <w:rPr>
          <w:rFonts w:hint="eastAsia"/>
          <w:sz w:val="24"/>
        </w:rPr>
        <w:t>月</w:t>
      </w:r>
      <w:r>
        <w:rPr>
          <w:rFonts w:hint="eastAsia"/>
          <w:sz w:val="24"/>
        </w:rPr>
        <w:t>8</w:t>
      </w:r>
      <w:r>
        <w:rPr>
          <w:rFonts w:hint="eastAsia"/>
          <w:sz w:val="24"/>
        </w:rPr>
        <w:t>日</w:t>
      </w:r>
    </w:p>
    <w:p w:rsidR="00EF0820" w:rsidRDefault="00EF0820" w:rsidP="00EF0820">
      <w:pPr>
        <w:adjustRightInd w:val="0"/>
        <w:snapToGrid w:val="0"/>
        <w:spacing w:line="578" w:lineRule="exact"/>
        <w:jc w:val="left"/>
        <w:rPr>
          <w:kern w:val="32"/>
          <w:sz w:val="32"/>
          <w:szCs w:val="32"/>
          <w:lang w:val="zh-CN"/>
        </w:rPr>
        <w:sectPr w:rsidR="00EF0820">
          <w:pgSz w:w="11906" w:h="16838"/>
          <w:pgMar w:top="992" w:right="1287" w:bottom="567" w:left="1491" w:header="992" w:footer="992" w:gutter="0"/>
          <w:cols w:space="720"/>
          <w:docGrid w:type="lines" w:linePitch="312"/>
        </w:sectPr>
      </w:pPr>
    </w:p>
    <w:p w:rsidR="00B841FB" w:rsidRDefault="00B841FB"/>
    <w:sectPr w:rsidR="00B841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jcd fnta8">
    <w:altName w:val="Symbol"/>
    <w:panose1 w:val="00000000000000000000"/>
    <w:charset w:val="02"/>
    <w:family w:val="roman"/>
    <w:notTrueType/>
    <w:pitch w:val="variable"/>
  </w:font>
  <w:font w:name="方正大标宋简体">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left" w:pos="1260"/>
        </w:tabs>
        <w:ind w:left="1260" w:hanging="420"/>
      </w:pPr>
      <w:rPr>
        <w:rFonts w:hint="eastAsia"/>
      </w:rPr>
    </w:lvl>
    <w:lvl w:ilvl="1" w:tentative="1">
      <w:start w:val="1"/>
      <w:numFmt w:val="lowerLetter"/>
      <w:lvlText w:val="%2)"/>
      <w:lvlJc w:val="left"/>
      <w:pPr>
        <w:tabs>
          <w:tab w:val="left" w:pos="1680"/>
        </w:tabs>
        <w:ind w:left="1680" w:hanging="420"/>
      </w:pPr>
    </w:lvl>
    <w:lvl w:ilvl="2" w:tentative="1">
      <w:start w:val="1"/>
      <w:numFmt w:val="lowerRoman"/>
      <w:lvlText w:val="%3."/>
      <w:lvlJc w:val="right"/>
      <w:pPr>
        <w:tabs>
          <w:tab w:val="left" w:pos="2100"/>
        </w:tabs>
        <w:ind w:left="2100" w:hanging="420"/>
      </w:pPr>
    </w:lvl>
    <w:lvl w:ilvl="3" w:tentative="1">
      <w:start w:val="1"/>
      <w:numFmt w:val="decimal"/>
      <w:lvlText w:val="%4."/>
      <w:lvlJc w:val="left"/>
      <w:pPr>
        <w:tabs>
          <w:tab w:val="left" w:pos="2520"/>
        </w:tabs>
        <w:ind w:left="2520" w:hanging="420"/>
      </w:pPr>
    </w:lvl>
    <w:lvl w:ilvl="4" w:tentative="1">
      <w:start w:val="1"/>
      <w:numFmt w:val="lowerLetter"/>
      <w:lvlText w:val="%5)"/>
      <w:lvlJc w:val="left"/>
      <w:pPr>
        <w:tabs>
          <w:tab w:val="left" w:pos="2940"/>
        </w:tabs>
        <w:ind w:left="2940" w:hanging="420"/>
      </w:pPr>
    </w:lvl>
    <w:lvl w:ilvl="5" w:tentative="1">
      <w:start w:val="1"/>
      <w:numFmt w:val="lowerRoman"/>
      <w:lvlText w:val="%6."/>
      <w:lvlJc w:val="righ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lowerLetter"/>
      <w:lvlText w:val="%8)"/>
      <w:lvlJc w:val="left"/>
      <w:pPr>
        <w:tabs>
          <w:tab w:val="left" w:pos="4200"/>
        </w:tabs>
        <w:ind w:left="4200" w:hanging="420"/>
      </w:pPr>
    </w:lvl>
    <w:lvl w:ilvl="8" w:tentative="1">
      <w:start w:val="1"/>
      <w:numFmt w:val="lowerRoman"/>
      <w:lvlText w:val="%9."/>
      <w:lvlJc w:val="right"/>
      <w:pPr>
        <w:tabs>
          <w:tab w:val="left" w:pos="4620"/>
        </w:tabs>
        <w:ind w:left="4620" w:hanging="420"/>
      </w:pPr>
    </w:lvl>
  </w:abstractNum>
  <w:abstractNum w:abstractNumId="1">
    <w:nsid w:val="0000000B"/>
    <w:multiLevelType w:val="multilevel"/>
    <w:tmpl w:val="0000000B"/>
    <w:lvl w:ilvl="0">
      <w:start w:val="1"/>
      <w:numFmt w:val="decimal"/>
      <w:lvlText w:val="%1."/>
      <w:lvlJc w:val="left"/>
      <w:pPr>
        <w:tabs>
          <w:tab w:val="left" w:pos="900"/>
        </w:tabs>
        <w:ind w:left="900" w:hanging="420"/>
      </w:p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3C"/>
    <w:rsid w:val="00B841FB"/>
    <w:rsid w:val="00DF413C"/>
    <w:rsid w:val="00EF0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8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8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liuyan</dc:creator>
  <cp:keywords/>
  <dc:description/>
  <cp:lastModifiedBy>liuyan</cp:lastModifiedBy>
  <cp:revision>2</cp:revision>
  <dcterms:created xsi:type="dcterms:W3CDTF">2016-06-30T13:10:00Z</dcterms:created>
  <dcterms:modified xsi:type="dcterms:W3CDTF">2016-06-30T13:11:00Z</dcterms:modified>
</cp:coreProperties>
</file>