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452FFA" w:rsidRPr="00452FFA" w:rsidTr="00452FFA">
        <w:trPr>
          <w:tblCellSpacing w:w="0" w:type="dxa"/>
        </w:trPr>
        <w:tc>
          <w:tcPr>
            <w:tcW w:w="0" w:type="auto"/>
            <w:vAlign w:val="center"/>
            <w:hideMark/>
          </w:tcPr>
          <w:p w:rsidR="00452FFA" w:rsidRPr="00452FFA" w:rsidRDefault="00452FFA" w:rsidP="00452FF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452FFA">
              <w:rPr>
                <w:rFonts w:ascii="微软雅黑" w:eastAsia="微软雅黑" w:hAnsi="微软雅黑" w:cs="宋体" w:hint="eastAsia"/>
                <w:b/>
                <w:bCs/>
                <w:color w:val="000000"/>
                <w:kern w:val="36"/>
                <w:sz w:val="30"/>
                <w:szCs w:val="30"/>
              </w:rPr>
              <w:t>2023年度国家自然科学基金委员会管理科学部专项项目指南—</w:t>
            </w:r>
            <w:proofErr w:type="gramStart"/>
            <w:r w:rsidRPr="00452FFA">
              <w:rPr>
                <w:rFonts w:ascii="微软雅黑" w:eastAsia="微软雅黑" w:hAnsi="微软雅黑" w:cs="宋体" w:hint="eastAsia"/>
                <w:b/>
                <w:bCs/>
                <w:color w:val="000000"/>
                <w:kern w:val="36"/>
                <w:sz w:val="30"/>
                <w:szCs w:val="30"/>
              </w:rPr>
              <w:t>数智技术</w:t>
            </w:r>
            <w:proofErr w:type="gramEnd"/>
            <w:r w:rsidRPr="00452FFA">
              <w:rPr>
                <w:rFonts w:ascii="微软雅黑" w:eastAsia="微软雅黑" w:hAnsi="微软雅黑" w:cs="宋体" w:hint="eastAsia"/>
                <w:b/>
                <w:bCs/>
                <w:color w:val="000000"/>
                <w:kern w:val="36"/>
                <w:sz w:val="30"/>
                <w:szCs w:val="30"/>
              </w:rPr>
              <w:t>驱动的卫生经济与健康政策研究</w:t>
            </w:r>
          </w:p>
          <w:bookmarkEnd w:id="0"/>
          <w:p w:rsidR="00452FFA" w:rsidRPr="00452FFA" w:rsidRDefault="00452FFA" w:rsidP="00452FFA">
            <w:pPr>
              <w:widowControl/>
              <w:shd w:val="clear" w:color="auto" w:fill="FFFFFF"/>
              <w:spacing w:line="638" w:lineRule="atLeast"/>
              <w:jc w:val="left"/>
              <w:rPr>
                <w:rFonts w:ascii="微软雅黑" w:eastAsia="微软雅黑" w:hAnsi="微软雅黑" w:cs="宋体"/>
                <w:kern w:val="0"/>
                <w:sz w:val="24"/>
                <w:szCs w:val="24"/>
              </w:rPr>
            </w:pPr>
            <w:r w:rsidRPr="00452FFA">
              <w:rPr>
                <w:rFonts w:ascii="微软雅黑" w:eastAsia="微软雅黑" w:hAnsi="微软雅黑" w:cs="宋体" w:hint="eastAsia"/>
                <w:kern w:val="0"/>
                <w:sz w:val="26"/>
                <w:szCs w:val="26"/>
              </w:rPr>
              <w:t xml:space="preserve">　　健康是促进人的全面发展的必然要求，是经济社会发展的基础条件。党的二十大报告要求：“把保障人民健康放在优先发展的战略位置，完善人民健康促进政策”。然而，在数智</w:t>
            </w:r>
            <w:proofErr w:type="gramStart"/>
            <w:r w:rsidRPr="00452FFA">
              <w:rPr>
                <w:rFonts w:ascii="微软雅黑" w:eastAsia="微软雅黑" w:hAnsi="微软雅黑" w:cs="宋体" w:hint="eastAsia"/>
                <w:kern w:val="0"/>
                <w:sz w:val="26"/>
                <w:szCs w:val="26"/>
              </w:rPr>
              <w:t>化创新</w:t>
            </w:r>
            <w:proofErr w:type="gramEnd"/>
            <w:r w:rsidRPr="00452FFA">
              <w:rPr>
                <w:rFonts w:ascii="微软雅黑" w:eastAsia="微软雅黑" w:hAnsi="微软雅黑" w:cs="宋体" w:hint="eastAsia"/>
                <w:kern w:val="0"/>
                <w:sz w:val="26"/>
                <w:szCs w:val="26"/>
              </w:rPr>
              <w:t>的大背景下，我国卫生政策研究面临着以下主要问题：一是人民健康需求变化对我国卫生体系建设提出了新的要求。随着人口老龄化的进展，</w:t>
            </w:r>
            <w:proofErr w:type="gramStart"/>
            <w:r w:rsidRPr="00452FFA">
              <w:rPr>
                <w:rFonts w:ascii="微软雅黑" w:eastAsia="微软雅黑" w:hAnsi="微软雅黑" w:cs="宋体" w:hint="eastAsia"/>
                <w:kern w:val="0"/>
                <w:sz w:val="26"/>
                <w:szCs w:val="26"/>
              </w:rPr>
              <w:t>慢性病共病给</w:t>
            </w:r>
            <w:proofErr w:type="gramEnd"/>
            <w:r w:rsidRPr="00452FFA">
              <w:rPr>
                <w:rFonts w:ascii="微软雅黑" w:eastAsia="微软雅黑" w:hAnsi="微软雅黑" w:cs="宋体" w:hint="eastAsia"/>
                <w:kern w:val="0"/>
                <w:sz w:val="26"/>
                <w:szCs w:val="26"/>
              </w:rPr>
              <w:t>医疗卫生体系带来沉重的服务供给负担与经济负担，亟需加强</w:t>
            </w:r>
            <w:proofErr w:type="gramStart"/>
            <w:r w:rsidRPr="00452FFA">
              <w:rPr>
                <w:rFonts w:ascii="微软雅黑" w:eastAsia="微软雅黑" w:hAnsi="微软雅黑" w:cs="宋体" w:hint="eastAsia"/>
                <w:kern w:val="0"/>
                <w:sz w:val="26"/>
                <w:szCs w:val="26"/>
              </w:rPr>
              <w:t>慢性病共病监测</w:t>
            </w:r>
            <w:proofErr w:type="gramEnd"/>
            <w:r w:rsidRPr="00452FFA">
              <w:rPr>
                <w:rFonts w:ascii="微软雅黑" w:eastAsia="微软雅黑" w:hAnsi="微软雅黑" w:cs="宋体" w:hint="eastAsia"/>
                <w:kern w:val="0"/>
                <w:sz w:val="26"/>
                <w:szCs w:val="26"/>
              </w:rPr>
              <w:t>，建立多病共管共治的系统服务模式。二是卫生体系建设还缺乏对罕见病筹资的关注，尚不能对罕见病引致的财务风险进行有效防范。三是药品安全治理面临供应链多元主体间信息不对称和衔接不畅、联动机制不健全等问题。四是医疗卫生体系现有支付模式对价值医疗导向的重视不足，各利益相关主体激励不相容的问题限制了</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保体系在促进人民</w:t>
            </w:r>
            <w:proofErr w:type="gramStart"/>
            <w:r w:rsidRPr="00452FFA">
              <w:rPr>
                <w:rFonts w:ascii="微软雅黑" w:eastAsia="微软雅黑" w:hAnsi="微软雅黑" w:cs="宋体" w:hint="eastAsia"/>
                <w:kern w:val="0"/>
                <w:sz w:val="26"/>
                <w:szCs w:val="26"/>
              </w:rPr>
              <w:t>健康中</w:t>
            </w:r>
            <w:proofErr w:type="gramEnd"/>
            <w:r w:rsidRPr="00452FFA">
              <w:rPr>
                <w:rFonts w:ascii="微软雅黑" w:eastAsia="微软雅黑" w:hAnsi="微软雅黑" w:cs="宋体" w:hint="eastAsia"/>
                <w:kern w:val="0"/>
                <w:sz w:val="26"/>
                <w:szCs w:val="26"/>
              </w:rPr>
              <w:t>的作用。五是新发突发传染病对公共卫生和国家安全造成持续挑战。同时，现有针对大流行的重大公共卫生事件的应急响应和决策缺乏大数据与人工智能等方法和工具的应用和辅助。</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习近平总书记强调基础研究要坚持“四个面向”，坚持目标导向和自由探索“两条腿走路”，把世界科技前沿同国家重大战略需求和经济社会发展目标结合起来。为此，国家自然科学基金委员会管理科学部设立“数智技术驱动的卫生经济与健康政策”专项项目，积极回应在健康中国建设推进过程中卫生体系建设的重大战略需求，聚集医疗、医药、</w:t>
            </w:r>
            <w:proofErr w:type="gramStart"/>
            <w:r w:rsidRPr="00452FFA">
              <w:rPr>
                <w:rFonts w:ascii="微软雅黑" w:eastAsia="微软雅黑" w:hAnsi="微软雅黑" w:cs="宋体" w:hint="eastAsia"/>
                <w:kern w:val="0"/>
                <w:sz w:val="26"/>
                <w:szCs w:val="26"/>
              </w:rPr>
              <w:lastRenderedPageBreak/>
              <w:t>医</w:t>
            </w:r>
            <w:proofErr w:type="gramEnd"/>
            <w:r w:rsidRPr="00452FFA">
              <w:rPr>
                <w:rFonts w:ascii="微软雅黑" w:eastAsia="微软雅黑" w:hAnsi="微软雅黑" w:cs="宋体" w:hint="eastAsia"/>
                <w:kern w:val="0"/>
                <w:sz w:val="26"/>
                <w:szCs w:val="26"/>
              </w:rPr>
              <w:t>保“三医”协同发展的内在逻辑，既能面向社会发展实际、关注管理实践，又能应用新技术、新方法揭示现实问题背后的科学内涵和机理规律，激励多学科交叉引领卫生经济与健康政策方面的基础性、前瞻性和引领性的科学研究。</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w:t>
            </w:r>
            <w:r w:rsidRPr="00452FFA">
              <w:rPr>
                <w:rFonts w:ascii="微软雅黑" w:eastAsia="微软雅黑" w:hAnsi="微软雅黑" w:cs="宋体" w:hint="eastAsia"/>
                <w:b/>
                <w:bCs/>
                <w:kern w:val="0"/>
                <w:sz w:val="26"/>
                <w:szCs w:val="26"/>
              </w:rPr>
              <w:t>一、科学目标</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本专项旨在面向保障人民生命健康这一国家重大需求，通过多学科、大交叉、新范式的手段，开展</w:t>
            </w:r>
            <w:proofErr w:type="gramStart"/>
            <w:r w:rsidRPr="00452FFA">
              <w:rPr>
                <w:rFonts w:ascii="微软雅黑" w:eastAsia="微软雅黑" w:hAnsi="微软雅黑" w:cs="宋体" w:hint="eastAsia"/>
                <w:kern w:val="0"/>
                <w:sz w:val="26"/>
                <w:szCs w:val="26"/>
              </w:rPr>
              <w:t>数智技术</w:t>
            </w:r>
            <w:proofErr w:type="gramEnd"/>
            <w:r w:rsidRPr="00452FFA">
              <w:rPr>
                <w:rFonts w:ascii="微软雅黑" w:eastAsia="微软雅黑" w:hAnsi="微软雅黑" w:cs="宋体" w:hint="eastAsia"/>
                <w:kern w:val="0"/>
                <w:sz w:val="26"/>
                <w:szCs w:val="26"/>
              </w:rPr>
              <w:t>驱动的卫生经济与健康政策研究，对实施“健康中国”政策提供定量化、动态化、创新性的管理科学理论支撑。遵循价值医疗导向，围绕落实重大健康需求中的宏观问题和管理场景，搭建贯穿慢病管理与动态监测、</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保支付与多层次保障的健康政策研究框架，通过优化医疗卫生资源配置，促进</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保、医疗、医药协同发展，提升以人为本的高质量综合医疗卫生服务体系，服务健康中国建设。</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本专项项目鼓励申请者及团队通过组织多学科研究力量、科学严谨的研究设计、扎实系统的数据基础，运用国际前沿定量分析方法开展项目研究，突破现有研究难点与技术瓶颈，产出具备国际领先水平的研究成果，为推进国家新时代医疗卫生服务模式变革与不断创新提供科学支撑。</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w:t>
            </w:r>
            <w:r w:rsidRPr="00452FFA">
              <w:rPr>
                <w:rFonts w:ascii="微软雅黑" w:eastAsia="微软雅黑" w:hAnsi="微软雅黑" w:cs="宋体" w:hint="eastAsia"/>
                <w:b/>
                <w:bCs/>
                <w:kern w:val="0"/>
                <w:sz w:val="26"/>
                <w:szCs w:val="26"/>
              </w:rPr>
              <w:t>二、拟资助研究方向</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lastRenderedPageBreak/>
              <w:t xml:space="preserve">　　本专项拟围绕慢性病卫生服务管理、药品安全治理、</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保支付体系、罕见病多重保障机制等资助卫生经济与健康政策研究。这些研究方向有机结合，以基础科学研究回应国家宏观健康政策需求，具体包括：</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（一）数字技术支持下</w:t>
            </w:r>
            <w:proofErr w:type="gramStart"/>
            <w:r w:rsidRPr="00452FFA">
              <w:rPr>
                <w:rFonts w:ascii="微软雅黑" w:eastAsia="微软雅黑" w:hAnsi="微软雅黑" w:cs="宋体" w:hint="eastAsia"/>
                <w:kern w:val="0"/>
                <w:sz w:val="26"/>
                <w:szCs w:val="26"/>
              </w:rPr>
              <w:t>慢性病共病医疗</w:t>
            </w:r>
            <w:proofErr w:type="gramEnd"/>
            <w:r w:rsidRPr="00452FFA">
              <w:rPr>
                <w:rFonts w:ascii="微软雅黑" w:eastAsia="微软雅黑" w:hAnsi="微软雅黑" w:cs="宋体" w:hint="eastAsia"/>
                <w:kern w:val="0"/>
                <w:sz w:val="26"/>
                <w:szCs w:val="26"/>
              </w:rPr>
              <w:t>卫生服务动态监测和政策干预（G0405或G0119）。</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运用数字技术实现</w:t>
            </w:r>
            <w:proofErr w:type="gramStart"/>
            <w:r w:rsidRPr="00452FFA">
              <w:rPr>
                <w:rFonts w:ascii="微软雅黑" w:eastAsia="微软雅黑" w:hAnsi="微软雅黑" w:cs="宋体" w:hint="eastAsia"/>
                <w:kern w:val="0"/>
                <w:sz w:val="26"/>
                <w:szCs w:val="26"/>
              </w:rPr>
              <w:t>慢性病共病人群</w:t>
            </w:r>
            <w:proofErr w:type="gramEnd"/>
            <w:r w:rsidRPr="00452FFA">
              <w:rPr>
                <w:rFonts w:ascii="微软雅黑" w:eastAsia="微软雅黑" w:hAnsi="微软雅黑" w:cs="宋体" w:hint="eastAsia"/>
                <w:kern w:val="0"/>
                <w:sz w:val="26"/>
                <w:szCs w:val="26"/>
              </w:rPr>
              <w:t>多源多模态卫生健康数据的采集、融合、特征提取，有针对性的建立卫生服务动态监测路径并进行跨区域比较；立足卫生服务的差异化需求，基于多维数据研究</w:t>
            </w:r>
            <w:proofErr w:type="gramStart"/>
            <w:r w:rsidRPr="00452FFA">
              <w:rPr>
                <w:rFonts w:ascii="微软雅黑" w:eastAsia="微软雅黑" w:hAnsi="微软雅黑" w:cs="宋体" w:hint="eastAsia"/>
                <w:kern w:val="0"/>
                <w:sz w:val="26"/>
                <w:szCs w:val="26"/>
              </w:rPr>
              <w:t>慢性病共病群体</w:t>
            </w:r>
            <w:proofErr w:type="gramEnd"/>
            <w:r w:rsidRPr="00452FFA">
              <w:rPr>
                <w:rFonts w:ascii="微软雅黑" w:eastAsia="微软雅黑" w:hAnsi="微软雅黑" w:cs="宋体" w:hint="eastAsia"/>
                <w:kern w:val="0"/>
                <w:sz w:val="26"/>
                <w:szCs w:val="26"/>
              </w:rPr>
              <w:t>的</w:t>
            </w:r>
            <w:proofErr w:type="gramStart"/>
            <w:r w:rsidRPr="00452FFA">
              <w:rPr>
                <w:rFonts w:ascii="微软雅黑" w:eastAsia="微软雅黑" w:hAnsi="微软雅黑" w:cs="宋体" w:hint="eastAsia"/>
                <w:kern w:val="0"/>
                <w:sz w:val="26"/>
                <w:szCs w:val="26"/>
              </w:rPr>
              <w:t>簇团网络</w:t>
            </w:r>
            <w:proofErr w:type="gramEnd"/>
            <w:r w:rsidRPr="00452FFA">
              <w:rPr>
                <w:rFonts w:ascii="微软雅黑" w:eastAsia="微软雅黑" w:hAnsi="微软雅黑" w:cs="宋体" w:hint="eastAsia"/>
                <w:kern w:val="0"/>
                <w:sz w:val="26"/>
                <w:szCs w:val="26"/>
              </w:rPr>
              <w:t>和卫生服务需求的演化轨迹；借助复杂系统管理理论，依托</w:t>
            </w:r>
            <w:proofErr w:type="gramStart"/>
            <w:r w:rsidRPr="00452FFA">
              <w:rPr>
                <w:rFonts w:ascii="微软雅黑" w:eastAsia="微软雅黑" w:hAnsi="微软雅黑" w:cs="宋体" w:hint="eastAsia"/>
                <w:kern w:val="0"/>
                <w:sz w:val="26"/>
                <w:szCs w:val="26"/>
              </w:rPr>
              <w:t>慢性病共病的</w:t>
            </w:r>
            <w:proofErr w:type="gramEnd"/>
            <w:r w:rsidRPr="00452FFA">
              <w:rPr>
                <w:rFonts w:ascii="微软雅黑" w:eastAsia="微软雅黑" w:hAnsi="微软雅黑" w:cs="宋体" w:hint="eastAsia"/>
                <w:kern w:val="0"/>
                <w:sz w:val="26"/>
                <w:szCs w:val="26"/>
              </w:rPr>
              <w:t>关联网络特征，全方位评估典型的多病共防、多病共检、多病共管的卫生服务供给方式和效果；以卫生服务降本增效和精准防控为导向，系统性构建慢性病管理优化政策干预模式与策略组合。</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（二）</w:t>
            </w:r>
            <w:proofErr w:type="gramStart"/>
            <w:r w:rsidRPr="00452FFA">
              <w:rPr>
                <w:rFonts w:ascii="微软雅黑" w:eastAsia="微软雅黑" w:hAnsi="微软雅黑" w:cs="宋体" w:hint="eastAsia"/>
                <w:kern w:val="0"/>
                <w:sz w:val="26"/>
                <w:szCs w:val="26"/>
              </w:rPr>
              <w:t>数智化</w:t>
            </w:r>
            <w:proofErr w:type="gramEnd"/>
            <w:r w:rsidRPr="00452FFA">
              <w:rPr>
                <w:rFonts w:ascii="微软雅黑" w:eastAsia="微软雅黑" w:hAnsi="微软雅黑" w:cs="宋体" w:hint="eastAsia"/>
                <w:kern w:val="0"/>
                <w:sz w:val="26"/>
                <w:szCs w:val="26"/>
              </w:rPr>
              <w:t>驱动的罕见病多重保障机制设计研究（G0410）。</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面向罕见病医疗体系中的可信安全数据治理及其共享协同机制；基于平台模式的罕见病分级诊疗资源配置与运行机制；</w:t>
            </w:r>
            <w:proofErr w:type="gramStart"/>
            <w:r w:rsidRPr="00452FFA">
              <w:rPr>
                <w:rFonts w:ascii="微软雅黑" w:eastAsia="微软雅黑" w:hAnsi="微软雅黑" w:cs="宋体" w:hint="eastAsia"/>
                <w:kern w:val="0"/>
                <w:sz w:val="26"/>
                <w:szCs w:val="26"/>
              </w:rPr>
              <w:t>数智化</w:t>
            </w:r>
            <w:proofErr w:type="gramEnd"/>
            <w:r w:rsidRPr="00452FFA">
              <w:rPr>
                <w:rFonts w:ascii="微软雅黑" w:eastAsia="微软雅黑" w:hAnsi="微软雅黑" w:cs="宋体" w:hint="eastAsia"/>
                <w:kern w:val="0"/>
                <w:sz w:val="26"/>
                <w:szCs w:val="26"/>
              </w:rPr>
              <w:t>驱动的罕见病智能医疗救助保障机制；区块链和供应链深度融合下的罕见病智能安全用药保障机制设计；基于机器学习的罕见病</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保基金管理与保障机制设计。</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（三）价值医疗导向下激励相容的支付体系研究（G0313）。</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利用健康</w:t>
            </w:r>
            <w:proofErr w:type="gramStart"/>
            <w:r w:rsidRPr="00452FFA">
              <w:rPr>
                <w:rFonts w:ascii="微软雅黑" w:eastAsia="微软雅黑" w:hAnsi="微软雅黑" w:cs="宋体" w:hint="eastAsia"/>
                <w:kern w:val="0"/>
                <w:sz w:val="26"/>
                <w:szCs w:val="26"/>
              </w:rPr>
              <w:t>医疗大</w:t>
            </w:r>
            <w:proofErr w:type="gramEnd"/>
            <w:r w:rsidRPr="00452FFA">
              <w:rPr>
                <w:rFonts w:ascii="微软雅黑" w:eastAsia="微软雅黑" w:hAnsi="微软雅黑" w:cs="宋体" w:hint="eastAsia"/>
                <w:kern w:val="0"/>
                <w:sz w:val="26"/>
                <w:szCs w:val="26"/>
              </w:rPr>
              <w:t>数据，实现对医药服务过程、患者疾病进展和转归、以及健康相关生命质量的微观测量，构建综合考虑生命长度和生命</w:t>
            </w:r>
            <w:r w:rsidRPr="00452FFA">
              <w:rPr>
                <w:rFonts w:ascii="微软雅黑" w:eastAsia="微软雅黑" w:hAnsi="微软雅黑" w:cs="宋体" w:hint="eastAsia"/>
                <w:kern w:val="0"/>
                <w:sz w:val="26"/>
                <w:szCs w:val="26"/>
              </w:rPr>
              <w:lastRenderedPageBreak/>
              <w:t>质量的健康获益微观测量方法；基于多</w:t>
            </w:r>
            <w:proofErr w:type="gramStart"/>
            <w:r w:rsidRPr="00452FFA">
              <w:rPr>
                <w:rFonts w:ascii="微软雅黑" w:eastAsia="微软雅黑" w:hAnsi="微软雅黑" w:cs="宋体" w:hint="eastAsia"/>
                <w:kern w:val="0"/>
                <w:sz w:val="26"/>
                <w:szCs w:val="26"/>
              </w:rPr>
              <w:t>源数据</w:t>
            </w:r>
            <w:proofErr w:type="gramEnd"/>
            <w:r w:rsidRPr="00452FFA">
              <w:rPr>
                <w:rFonts w:ascii="微软雅黑" w:eastAsia="微软雅黑" w:hAnsi="微软雅黑" w:cs="宋体" w:hint="eastAsia"/>
                <w:kern w:val="0"/>
                <w:sz w:val="26"/>
                <w:szCs w:val="26"/>
              </w:rPr>
              <w:t>实证评估现有</w:t>
            </w:r>
            <w:proofErr w:type="gramStart"/>
            <w:r w:rsidRPr="00452FFA">
              <w:rPr>
                <w:rFonts w:ascii="微软雅黑" w:eastAsia="微软雅黑" w:hAnsi="微软雅黑" w:cs="宋体" w:hint="eastAsia"/>
                <w:kern w:val="0"/>
                <w:sz w:val="26"/>
                <w:szCs w:val="26"/>
              </w:rPr>
              <w:t>医</w:t>
            </w:r>
            <w:proofErr w:type="gramEnd"/>
            <w:r w:rsidRPr="00452FFA">
              <w:rPr>
                <w:rFonts w:ascii="微软雅黑" w:eastAsia="微软雅黑" w:hAnsi="微软雅黑" w:cs="宋体" w:hint="eastAsia"/>
                <w:kern w:val="0"/>
                <w:sz w:val="26"/>
                <w:szCs w:val="26"/>
              </w:rPr>
              <w:t>保支付方式改革的实施效果，利用健康获益微观测量指标评估其健康获益与支付效率；从激励相容角度，基于实证证据挖掘并量化影响价值医疗实现的医药服务提供行为的关键因素，以按绩效支付为核心，厘清价值医疗的优化路径；基于</w:t>
            </w:r>
            <w:proofErr w:type="gramStart"/>
            <w:r w:rsidRPr="00452FFA">
              <w:rPr>
                <w:rFonts w:ascii="微软雅黑" w:eastAsia="微软雅黑" w:hAnsi="微软雅黑" w:cs="宋体" w:hint="eastAsia"/>
                <w:kern w:val="0"/>
                <w:sz w:val="26"/>
                <w:szCs w:val="26"/>
              </w:rPr>
              <w:t>医保患</w:t>
            </w:r>
            <w:proofErr w:type="gramEnd"/>
            <w:r w:rsidRPr="00452FFA">
              <w:rPr>
                <w:rFonts w:ascii="微软雅黑" w:eastAsia="微软雅黑" w:hAnsi="微软雅黑" w:cs="宋体" w:hint="eastAsia"/>
                <w:kern w:val="0"/>
                <w:sz w:val="26"/>
                <w:szCs w:val="26"/>
              </w:rPr>
              <w:t>三方数据，在微观层面仿真模拟各利益主体在不同按绩效支付模式下的行为、成本与健康获益，筛选不同情境下最优支付模式，提出价值医疗导向下的支付体系优化方案。</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（四）区块链和供应链深度融合下的药品安全治理模式研究（G0406或G0119）。</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探索利用区块链技术建立覆盖药品供应链全程、多元主体共同参与的药品安全信息实时共享平台；应用大数据分析方法，开发数据治理、信号发现、验证和处置策略，构建药品安全风险主动预警机制；连通药品全生命周期关键节点信息，应用分布式存储和隐私计算，建立精准快速的药品安全追溯体系；研究药品安全多元风险的复杂联动和传导机制，探索跨区域跨部门联动的应急处置机制。</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w:t>
            </w:r>
            <w:r w:rsidRPr="00452FFA">
              <w:rPr>
                <w:rFonts w:ascii="微软雅黑" w:eastAsia="微软雅黑" w:hAnsi="微软雅黑" w:cs="宋体" w:hint="eastAsia"/>
                <w:b/>
                <w:bCs/>
                <w:kern w:val="0"/>
                <w:sz w:val="26"/>
                <w:szCs w:val="26"/>
              </w:rPr>
              <w:t>三、项目遴选的基本原则</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除撰写提纲要求外，申请书内容还</w:t>
            </w:r>
            <w:proofErr w:type="gramStart"/>
            <w:r w:rsidRPr="00452FFA">
              <w:rPr>
                <w:rFonts w:ascii="微软雅黑" w:eastAsia="微软雅黑" w:hAnsi="微软雅黑" w:cs="宋体" w:hint="eastAsia"/>
                <w:kern w:val="0"/>
                <w:sz w:val="26"/>
                <w:szCs w:val="26"/>
              </w:rPr>
              <w:t>须体现</w:t>
            </w:r>
            <w:proofErr w:type="gramEnd"/>
            <w:r w:rsidRPr="00452FFA">
              <w:rPr>
                <w:rFonts w:ascii="微软雅黑" w:eastAsia="微软雅黑" w:hAnsi="微软雅黑" w:cs="宋体" w:hint="eastAsia"/>
                <w:kern w:val="0"/>
                <w:sz w:val="26"/>
                <w:szCs w:val="26"/>
              </w:rPr>
              <w:t>如下两个方面：1. 申请项目为实现总体科学目标的贡献；2. 针对本项目指南中研究方向拟重点突破的科学问题、达到的研究目标或技术指标。</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w:t>
            </w:r>
            <w:r w:rsidRPr="00452FFA">
              <w:rPr>
                <w:rFonts w:ascii="微软雅黑" w:eastAsia="微软雅黑" w:hAnsi="微软雅黑" w:cs="宋体" w:hint="eastAsia"/>
                <w:b/>
                <w:bCs/>
                <w:kern w:val="0"/>
                <w:sz w:val="26"/>
                <w:szCs w:val="26"/>
              </w:rPr>
              <w:t>四、资助计划</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lastRenderedPageBreak/>
              <w:t xml:space="preserve">　　专项项目资助期限为4年，申请书中的研究期限应填写“2024年1月1日－2027年12月31日”，拟资助4项左右，直接费用平均资助强度约200万元/项。</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w:t>
            </w:r>
            <w:r w:rsidRPr="00452FFA">
              <w:rPr>
                <w:rFonts w:ascii="微软雅黑" w:eastAsia="微软雅黑" w:hAnsi="微软雅黑" w:cs="宋体" w:hint="eastAsia"/>
                <w:b/>
                <w:bCs/>
                <w:kern w:val="0"/>
                <w:sz w:val="26"/>
                <w:szCs w:val="26"/>
              </w:rPr>
              <w:t>五、申请要求及注意事项</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（一）申请条件。</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专项项目申请人应当具备以下条件：</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1.具有承担基础研究课题的经历；</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2.具有高级专业技术职务（职称）。</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在站博士后研究人员、正在攻读研究生学位以及无工作单位或者所在单位不是依托单位的人员不得作为申请人进行申请。2023年已获得国家自然科学基金重点、重大项目的项目负责人，不得作为申请人申请本专项项目。</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（二）限</w:t>
            </w:r>
            <w:proofErr w:type="gramStart"/>
            <w:r w:rsidRPr="00452FFA">
              <w:rPr>
                <w:rFonts w:ascii="微软雅黑" w:eastAsia="微软雅黑" w:hAnsi="微软雅黑" w:cs="宋体" w:hint="eastAsia"/>
                <w:kern w:val="0"/>
                <w:sz w:val="26"/>
                <w:szCs w:val="26"/>
              </w:rPr>
              <w:t>项申请</w:t>
            </w:r>
            <w:proofErr w:type="gramEnd"/>
            <w:r w:rsidRPr="00452FFA">
              <w:rPr>
                <w:rFonts w:ascii="微软雅黑" w:eastAsia="微软雅黑" w:hAnsi="微软雅黑" w:cs="宋体" w:hint="eastAsia"/>
                <w:kern w:val="0"/>
                <w:sz w:val="26"/>
                <w:szCs w:val="26"/>
              </w:rPr>
              <w:t>规定。</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1.专项项目申请不计</w:t>
            </w:r>
            <w:proofErr w:type="gramStart"/>
            <w:r w:rsidRPr="00452FFA">
              <w:rPr>
                <w:rFonts w:ascii="微软雅黑" w:eastAsia="微软雅黑" w:hAnsi="微软雅黑" w:cs="宋体" w:hint="eastAsia"/>
                <w:kern w:val="0"/>
                <w:sz w:val="26"/>
                <w:szCs w:val="26"/>
              </w:rPr>
              <w:t>入高级</w:t>
            </w:r>
            <w:proofErr w:type="gramEnd"/>
            <w:r w:rsidRPr="00452FFA">
              <w:rPr>
                <w:rFonts w:ascii="微软雅黑" w:eastAsia="微软雅黑" w:hAnsi="微软雅黑" w:cs="宋体" w:hint="eastAsia"/>
                <w:kern w:val="0"/>
                <w:sz w:val="26"/>
                <w:szCs w:val="26"/>
              </w:rPr>
              <w:t>专业技术职务（职称）人员申请和承担总数2项的范围。获得资助后，计入高级专业技术职务（职称）人员申请和承担总数2项的范围。</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2.申请人和主要参与者只能申请或参与申请1项本专项项目。</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3.申请人同年只能申请1项专项项目中的研究项目。</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（三）申请注意事项。</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1.申请接收时间为2023年10月9日－2023年10月31日。</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2.专项项目申请书采用在线方式撰写。对申请人具体要求如下：</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lastRenderedPageBreak/>
              <w:t xml:space="preserve">　　（1）申请人在填报申请书前，应当认真阅读本项目指南和《2023年度国家自然科学基金项目指南》的相关内容，不符合项目指南和相关要求的申请项目不予受理。</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2）专项项目旨在紧密围绕核心科学问题，将对多学科相关研究进行战略性的方向引导和优势整合，成为一个专项项目集群。申请人应根据专项项目拟解决的具体科学问题和项目指南公布的拟资助研究方向，自行拟定项目名称、科学目标、研究内容、技术路线和相应的研究经费等。</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（3）申请人登录科学基金信息系统https://grants.nsfc.gov.cn/（没有系统账号的申请人请向依托单位基金管理联系人申请开户），按照撰写提纲及相关要求撰写申请书。</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4）申请书中的资助类别选择“专项项目”，亚类说明选择“研究项目”，附注说明选择“科学部综合研究项目”。申请代码1选择管理科学部相关学科代码。以上选择不准确或未选择的项目申请不予受理。申请项目名称可以</w:t>
            </w:r>
            <w:proofErr w:type="gramStart"/>
            <w:r w:rsidRPr="00452FFA">
              <w:rPr>
                <w:rFonts w:ascii="微软雅黑" w:eastAsia="微软雅黑" w:hAnsi="微软雅黑" w:cs="宋体" w:hint="eastAsia"/>
                <w:kern w:val="0"/>
                <w:sz w:val="26"/>
                <w:szCs w:val="26"/>
              </w:rPr>
              <w:t>不同于拟资助</w:t>
            </w:r>
            <w:proofErr w:type="gramEnd"/>
            <w:r w:rsidRPr="00452FFA">
              <w:rPr>
                <w:rFonts w:ascii="微软雅黑" w:eastAsia="微软雅黑" w:hAnsi="微软雅黑" w:cs="宋体" w:hint="eastAsia"/>
                <w:kern w:val="0"/>
                <w:sz w:val="26"/>
                <w:szCs w:val="26"/>
              </w:rPr>
              <w:t>研究方向下列出的研究内容名称，但应属该内容所辖之内的研究领域。</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本专项项目申请不受《2023年度国家自然科学基金项目指南》中管理科学部资助领域和注意事项中第1条“避免与国家社会科学基金重复资助”条款限制。</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（5）</w:t>
            </w:r>
            <w:proofErr w:type="gramStart"/>
            <w:r w:rsidRPr="00452FFA">
              <w:rPr>
                <w:rFonts w:ascii="微软雅黑" w:eastAsia="微软雅黑" w:hAnsi="微软雅黑" w:cs="宋体" w:hint="eastAsia"/>
                <w:kern w:val="0"/>
                <w:sz w:val="26"/>
                <w:szCs w:val="26"/>
              </w:rPr>
              <w:t>每个专项</w:t>
            </w:r>
            <w:proofErr w:type="gramEnd"/>
            <w:r w:rsidRPr="00452FFA">
              <w:rPr>
                <w:rFonts w:ascii="微软雅黑" w:eastAsia="微软雅黑" w:hAnsi="微软雅黑" w:cs="宋体" w:hint="eastAsia"/>
                <w:kern w:val="0"/>
                <w:sz w:val="26"/>
                <w:szCs w:val="26"/>
              </w:rPr>
              <w:t>项目的依托单位和合作研究单位数合计不得超过3个；主要参与者必须是项目的实际贡献者。</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lastRenderedPageBreak/>
              <w:t xml:space="preserve">　　（6）申请人应当按照专项项目申请书的撰写提纲撰写申请书，请在申请书正文开头注明“2023年度专项项目数智技术驱动的卫生经济与健康政策研究之研究方向：***（按照上述4个拟资助研究方向之一填写）”。申请书应突出有限目标和重点突破，明确对实现本专项总体目标和解决核心科学问题的贡献。</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如果申请人已经承担与专项项目相关的其他科技计划项目，应当在申请书正文的“研究基础与工作条件”部分论述申请项目与其他相关项目的区别与联系。</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（7）申请人应当认真阅读《2023年度国家自然科学基金项目指南》申请规定中预算编报要求的内容，认真如实编报项目预算，依托单位要按照有关规定认真进行审核。</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（8）专项项目实行无纸化申请，申请人完成申请书撰写后，在线提交电子申请书及附件材料。依托单位只需在线确认电子申请书及附件材料，无须报送纸质申请书，但必须应在项目接收工作截止时间前（</w:t>
            </w:r>
            <w:r w:rsidRPr="00452FFA">
              <w:rPr>
                <w:rFonts w:ascii="微软雅黑" w:eastAsia="微软雅黑" w:hAnsi="微软雅黑" w:cs="宋体" w:hint="eastAsia"/>
                <w:b/>
                <w:bCs/>
                <w:kern w:val="0"/>
                <w:sz w:val="26"/>
                <w:szCs w:val="26"/>
              </w:rPr>
              <w:t>2023年10月31日16时</w:t>
            </w:r>
            <w:r w:rsidRPr="00452FFA">
              <w:rPr>
                <w:rFonts w:ascii="微软雅黑" w:eastAsia="微软雅黑" w:hAnsi="微软雅黑" w:cs="宋体" w:hint="eastAsia"/>
                <w:kern w:val="0"/>
                <w:sz w:val="26"/>
                <w:szCs w:val="26"/>
              </w:rPr>
              <w:t>）对本单位申请人所提交申请材料的真实性和完整性进行认真审核。项目获批准后，依托单位将申请书的纸质签字盖章页装订在《资助项目计划书》最后，在规定的时间内按要求一并提交。</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3.专项项目咨询联系方式：</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（1）填报过程中遇到的技术问题，可联系国家自然科学基金委员会信息中心协助解决，联系电话：010-62317474。</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lastRenderedPageBreak/>
              <w:t xml:space="preserve">　　（2）国家自然科学基金委员会项目材料接收工作组负责接收申请材料，如材料不完整，将不予接收。联系电话：010-62328591。</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（3）其他问题可咨询国家自然科学基金委员会管理科学部三处。</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联系人：陈老师 吴老师</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联系电话：010-62327155、010-62327152。</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（四）其他注意事项。</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1.为实现专项项目总体科学目标，获得资助的项目负责人应当承诺遵守相关数据和资料管理与共享的规定，项目执行过程中须关注与本专项其他项目之间的相互支撑关系。</w:t>
            </w:r>
          </w:p>
          <w:p w:rsidR="00452FFA" w:rsidRPr="00452FFA" w:rsidRDefault="00452FFA" w:rsidP="00452FFA">
            <w:pPr>
              <w:widowControl/>
              <w:shd w:val="clear" w:color="auto" w:fill="FFFFFF"/>
              <w:spacing w:line="638" w:lineRule="atLeast"/>
              <w:jc w:val="left"/>
              <w:rPr>
                <w:rFonts w:ascii="微软雅黑" w:eastAsia="微软雅黑" w:hAnsi="微软雅黑" w:cs="宋体" w:hint="eastAsia"/>
                <w:kern w:val="0"/>
                <w:sz w:val="26"/>
                <w:szCs w:val="26"/>
              </w:rPr>
            </w:pPr>
            <w:r w:rsidRPr="00452FFA">
              <w:rPr>
                <w:rFonts w:ascii="微软雅黑" w:eastAsia="微软雅黑" w:hAnsi="微软雅黑" w:cs="宋体" w:hint="eastAsia"/>
                <w:kern w:val="0"/>
                <w:sz w:val="26"/>
                <w:szCs w:val="26"/>
              </w:rPr>
              <w:t xml:space="preserve">　　2.为加强项目的学术交流，促进专项项目集群的形成和多学科交叉，专项项目集群将设专项项目指导专家组和协调推进组，每年举办一次资助项目的年度学术交流会，并将不定期地组织相关领域的学术研讨会。获资助项目负责人必须参加上述学术交流活动，并认真开展学术交流。</w:t>
            </w:r>
          </w:p>
        </w:tc>
      </w:tr>
    </w:tbl>
    <w:p w:rsidR="00452FFA" w:rsidRPr="00452FFA" w:rsidRDefault="00452FFA" w:rsidP="00452FFA">
      <w:pPr>
        <w:widowControl/>
        <w:jc w:val="left"/>
        <w:rPr>
          <w:rFonts w:ascii="宋体" w:eastAsia="宋体" w:hAnsi="宋体" w:cs="宋体" w:hint="eastAsia"/>
          <w:kern w:val="0"/>
          <w:sz w:val="24"/>
          <w:szCs w:val="24"/>
        </w:rPr>
      </w:pPr>
      <w:r w:rsidRPr="00452FFA">
        <w:rPr>
          <w:rFonts w:ascii="宋体" w:eastAsia="宋体" w:hAnsi="宋体" w:cs="宋体" w:hint="eastAsia"/>
          <w:color w:val="000000"/>
          <w:kern w:val="0"/>
          <w:sz w:val="18"/>
          <w:szCs w:val="18"/>
        </w:rPr>
        <w:lastRenderedPageBreak/>
        <w:br w:type="textWrapping" w:clear="all"/>
      </w:r>
    </w:p>
    <w:p w:rsidR="00580A06" w:rsidRPr="00452FFA" w:rsidRDefault="00452FFA"/>
    <w:sectPr w:rsidR="00580A06" w:rsidRPr="00452F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FA"/>
    <w:rsid w:val="00177596"/>
    <w:rsid w:val="00327ACE"/>
    <w:rsid w:val="003643BE"/>
    <w:rsid w:val="00452FFA"/>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9106-061D-46F8-9100-F5DB1767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52F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52FFA"/>
    <w:rPr>
      <w:rFonts w:ascii="宋体" w:eastAsia="宋体" w:hAnsi="宋体" w:cs="宋体"/>
      <w:b/>
      <w:bCs/>
      <w:kern w:val="36"/>
      <w:sz w:val="48"/>
      <w:szCs w:val="48"/>
    </w:rPr>
  </w:style>
  <w:style w:type="character" w:styleId="a3">
    <w:name w:val="Hyperlink"/>
    <w:basedOn w:val="a0"/>
    <w:uiPriority w:val="99"/>
    <w:semiHidden/>
    <w:unhideWhenUsed/>
    <w:rsid w:val="00452FFA"/>
    <w:rPr>
      <w:color w:val="0000FF"/>
      <w:u w:val="single"/>
    </w:rPr>
  </w:style>
  <w:style w:type="character" w:customStyle="1" w:styleId="normal105">
    <w:name w:val="normal105"/>
    <w:basedOn w:val="a0"/>
    <w:rsid w:val="00452FFA"/>
  </w:style>
  <w:style w:type="paragraph" w:styleId="a4">
    <w:name w:val="Normal (Web)"/>
    <w:basedOn w:val="a"/>
    <w:uiPriority w:val="99"/>
    <w:semiHidden/>
    <w:unhideWhenUsed/>
    <w:rsid w:val="00452F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5491">
      <w:bodyDiv w:val="1"/>
      <w:marLeft w:val="0"/>
      <w:marRight w:val="0"/>
      <w:marTop w:val="0"/>
      <w:marBottom w:val="0"/>
      <w:divBdr>
        <w:top w:val="none" w:sz="0" w:space="0" w:color="auto"/>
        <w:left w:val="none" w:sz="0" w:space="0" w:color="auto"/>
        <w:bottom w:val="none" w:sz="0" w:space="0" w:color="auto"/>
        <w:right w:val="none" w:sz="0" w:space="0" w:color="auto"/>
      </w:divBdr>
      <w:divsChild>
        <w:div w:id="576324393">
          <w:marLeft w:val="0"/>
          <w:marRight w:val="0"/>
          <w:marTop w:val="0"/>
          <w:marBottom w:val="0"/>
          <w:divBdr>
            <w:top w:val="none" w:sz="0" w:space="0" w:color="auto"/>
            <w:left w:val="none" w:sz="0" w:space="0" w:color="auto"/>
            <w:bottom w:val="none" w:sz="0" w:space="0" w:color="auto"/>
            <w:right w:val="none" w:sz="0" w:space="0" w:color="auto"/>
          </w:divBdr>
          <w:divsChild>
            <w:div w:id="1163743462">
              <w:marLeft w:val="0"/>
              <w:marRight w:val="0"/>
              <w:marTop w:val="0"/>
              <w:marBottom w:val="0"/>
              <w:divBdr>
                <w:top w:val="none" w:sz="0" w:space="0" w:color="auto"/>
                <w:left w:val="none" w:sz="0" w:space="0" w:color="auto"/>
                <w:bottom w:val="none" w:sz="0" w:space="0" w:color="auto"/>
                <w:right w:val="none" w:sz="0" w:space="0" w:color="auto"/>
              </w:divBdr>
              <w:divsChild>
                <w:div w:id="174420825">
                  <w:marLeft w:val="0"/>
                  <w:marRight w:val="0"/>
                  <w:marTop w:val="0"/>
                  <w:marBottom w:val="0"/>
                  <w:divBdr>
                    <w:top w:val="none" w:sz="0" w:space="0" w:color="auto"/>
                    <w:left w:val="none" w:sz="0" w:space="0" w:color="auto"/>
                    <w:bottom w:val="none" w:sz="0" w:space="0" w:color="auto"/>
                    <w:right w:val="none" w:sz="0" w:space="0" w:color="auto"/>
                  </w:divBdr>
                  <w:divsChild>
                    <w:div w:id="1023171388">
                      <w:marLeft w:val="0"/>
                      <w:marRight w:val="0"/>
                      <w:marTop w:val="0"/>
                      <w:marBottom w:val="0"/>
                      <w:divBdr>
                        <w:top w:val="none" w:sz="0" w:space="0" w:color="auto"/>
                        <w:left w:val="none" w:sz="0" w:space="0" w:color="auto"/>
                        <w:bottom w:val="none" w:sz="0" w:space="0" w:color="auto"/>
                        <w:right w:val="none" w:sz="0" w:space="0" w:color="auto"/>
                      </w:divBdr>
                      <w:divsChild>
                        <w:div w:id="1757045625">
                          <w:marLeft w:val="0"/>
                          <w:marRight w:val="0"/>
                          <w:marTop w:val="0"/>
                          <w:marBottom w:val="0"/>
                          <w:divBdr>
                            <w:top w:val="single" w:sz="6" w:space="0" w:color="999999"/>
                            <w:left w:val="none" w:sz="0" w:space="0" w:color="auto"/>
                            <w:bottom w:val="single" w:sz="6" w:space="0" w:color="999999"/>
                            <w:right w:val="none" w:sz="0" w:space="0" w:color="auto"/>
                          </w:divBdr>
                        </w:div>
                        <w:div w:id="12757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630</Words>
  <Characters>3594</Characters>
  <Application>Microsoft Office Word</Application>
  <DocSecurity>0</DocSecurity>
  <Lines>29</Lines>
  <Paragraphs>8</Paragraphs>
  <ScaleCrop>false</ScaleCrop>
  <Company>CHINA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2023-10-08T07:50:00Z</dcterms:created>
  <dcterms:modified xsi:type="dcterms:W3CDTF">2023-10-08T07:59:00Z</dcterms:modified>
</cp:coreProperties>
</file>