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5E0" w:rsidRDefault="007A25E0" w:rsidP="007A25E0">
      <w:pPr>
        <w:widowControl/>
        <w:shd w:val="clear" w:color="auto" w:fill="FFFFFF"/>
        <w:spacing w:line="360" w:lineRule="auto"/>
        <w:jc w:val="center"/>
        <w:outlineLvl w:val="0"/>
        <w:rPr>
          <w:rFonts w:ascii="宋体" w:eastAsia="宋体" w:hAnsi="宋体" w:cs="宋体"/>
          <w:b/>
          <w:bCs/>
          <w:color w:val="000000"/>
          <w:kern w:val="36"/>
          <w:sz w:val="24"/>
          <w:szCs w:val="24"/>
        </w:rPr>
      </w:pPr>
      <w:r w:rsidRPr="007A25E0">
        <w:rPr>
          <w:rFonts w:ascii="宋体" w:eastAsia="宋体" w:hAnsi="宋体" w:cs="宋体" w:hint="eastAsia"/>
          <w:b/>
          <w:bCs/>
          <w:color w:val="000000"/>
          <w:kern w:val="36"/>
          <w:sz w:val="24"/>
          <w:szCs w:val="24"/>
        </w:rPr>
        <w:t>关于发布工程与材料科学部“双碳”专项项目（一）</w:t>
      </w:r>
    </w:p>
    <w:p w:rsidR="007A25E0" w:rsidRPr="007A25E0" w:rsidRDefault="007A25E0" w:rsidP="007A25E0">
      <w:pPr>
        <w:widowControl/>
        <w:shd w:val="clear" w:color="auto" w:fill="FFFFFF"/>
        <w:spacing w:line="360" w:lineRule="auto"/>
        <w:jc w:val="center"/>
        <w:outlineLvl w:val="0"/>
        <w:rPr>
          <w:rFonts w:ascii="宋体" w:eastAsia="宋体" w:hAnsi="宋体" w:cs="宋体"/>
          <w:b/>
          <w:bCs/>
          <w:color w:val="000000"/>
          <w:kern w:val="36"/>
          <w:sz w:val="24"/>
          <w:szCs w:val="24"/>
        </w:rPr>
      </w:pPr>
      <w:bookmarkStart w:id="0" w:name="_GoBack"/>
      <w:r w:rsidRPr="007A25E0">
        <w:rPr>
          <w:rFonts w:ascii="宋体" w:eastAsia="宋体" w:hAnsi="宋体" w:cs="宋体" w:hint="eastAsia"/>
          <w:b/>
          <w:bCs/>
          <w:color w:val="000000"/>
          <w:kern w:val="36"/>
          <w:sz w:val="24"/>
          <w:szCs w:val="24"/>
        </w:rPr>
        <w:t>——“双碳目标下制氢储氢基础研究”项目指南的通知</w:t>
      </w:r>
      <w:bookmarkEnd w:id="0"/>
    </w:p>
    <w:p w:rsidR="007A25E0" w:rsidRPr="007A25E0" w:rsidRDefault="007A25E0" w:rsidP="007A25E0">
      <w:pPr>
        <w:widowControl/>
        <w:shd w:val="clear" w:color="auto" w:fill="FFFFFF"/>
        <w:spacing w:line="360" w:lineRule="auto"/>
        <w:rPr>
          <w:rFonts w:ascii="宋体" w:eastAsia="宋体" w:hAnsi="宋体" w:cs="宋体" w:hint="eastAsia"/>
          <w:kern w:val="0"/>
          <w:sz w:val="24"/>
          <w:szCs w:val="24"/>
        </w:rPr>
      </w:pPr>
      <w:r w:rsidRPr="007A25E0">
        <w:rPr>
          <w:rFonts w:ascii="宋体" w:eastAsia="宋体" w:hAnsi="宋体" w:cs="宋体" w:hint="eastAsia"/>
          <w:color w:val="000000"/>
          <w:kern w:val="0"/>
          <w:sz w:val="24"/>
          <w:szCs w:val="24"/>
        </w:rPr>
        <w:t xml:space="preserve">　　为推动面向国家“碳中和”战略目标的基础研究，国家自然科学基金委员会（以下简称自然科学基金委）工程与材料科学部拟设立“双碳”专项项目（一）——“双碳目标下制氢储氢基础研究”，针对低碳/</w:t>
      </w:r>
      <w:proofErr w:type="gramStart"/>
      <w:r w:rsidRPr="007A25E0">
        <w:rPr>
          <w:rFonts w:ascii="宋体" w:eastAsia="宋体" w:hAnsi="宋体" w:cs="宋体" w:hint="eastAsia"/>
          <w:color w:val="000000"/>
          <w:kern w:val="0"/>
          <w:sz w:val="24"/>
          <w:szCs w:val="24"/>
        </w:rPr>
        <w:t>零碳制氢</w:t>
      </w:r>
      <w:proofErr w:type="gramEnd"/>
      <w:r w:rsidRPr="007A25E0">
        <w:rPr>
          <w:rFonts w:ascii="宋体" w:eastAsia="宋体" w:hAnsi="宋体" w:cs="宋体" w:hint="eastAsia"/>
          <w:color w:val="000000"/>
          <w:kern w:val="0"/>
          <w:sz w:val="24"/>
          <w:szCs w:val="24"/>
        </w:rPr>
        <w:t>和地下大容量储氢的核心科学问题，开展多学科交叉研究，为发展制氢脱碳的能源系统、可再生能源制氢途径、高效地下储氢技术奠定理论基础，推动“双碳”目标下制氢储氢技术发展。</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一、</w:t>
      </w:r>
      <w:r w:rsidRPr="007A25E0">
        <w:rPr>
          <w:rFonts w:ascii="宋体" w:eastAsia="宋体" w:hAnsi="宋体" w:cs="宋体" w:hint="eastAsia"/>
          <w:b/>
          <w:bCs/>
          <w:color w:val="000000"/>
          <w:kern w:val="0"/>
          <w:sz w:val="24"/>
          <w:szCs w:val="24"/>
        </w:rPr>
        <w:t>科学目标</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本专项项目围绕化石燃料低能耗制氢、可再生能源制氢</w:t>
      </w:r>
      <w:proofErr w:type="gramStart"/>
      <w:r w:rsidRPr="007A25E0">
        <w:rPr>
          <w:rFonts w:ascii="宋体" w:eastAsia="宋体" w:hAnsi="宋体" w:cs="宋体" w:hint="eastAsia"/>
          <w:color w:val="000000"/>
          <w:kern w:val="0"/>
          <w:sz w:val="24"/>
          <w:szCs w:val="24"/>
        </w:rPr>
        <w:t>系统源荷波动</w:t>
      </w:r>
      <w:proofErr w:type="gramEnd"/>
      <w:r w:rsidRPr="007A25E0">
        <w:rPr>
          <w:rFonts w:ascii="宋体" w:eastAsia="宋体" w:hAnsi="宋体" w:cs="宋体" w:hint="eastAsia"/>
          <w:color w:val="000000"/>
          <w:kern w:val="0"/>
          <w:sz w:val="24"/>
          <w:szCs w:val="24"/>
        </w:rPr>
        <w:t>自适应控制以及地下多孔储层高效储氢，从制氢与碳协同转化入手，探索化石燃料低能耗制氢的新原理和新方法，降低制氢脱碳能耗；探究可再生能源</w:t>
      </w:r>
      <w:proofErr w:type="gramStart"/>
      <w:r w:rsidRPr="007A25E0">
        <w:rPr>
          <w:rFonts w:ascii="宋体" w:eastAsia="宋体" w:hAnsi="宋体" w:cs="宋体" w:hint="eastAsia"/>
          <w:color w:val="000000"/>
          <w:kern w:val="0"/>
          <w:sz w:val="24"/>
          <w:szCs w:val="24"/>
        </w:rPr>
        <w:t>直流离网制氢</w:t>
      </w:r>
      <w:proofErr w:type="gramEnd"/>
      <w:r w:rsidRPr="007A25E0">
        <w:rPr>
          <w:rFonts w:ascii="宋体" w:eastAsia="宋体" w:hAnsi="宋体" w:cs="宋体" w:hint="eastAsia"/>
          <w:color w:val="000000"/>
          <w:kern w:val="0"/>
          <w:sz w:val="24"/>
          <w:szCs w:val="24"/>
        </w:rPr>
        <w:t>系统可靠运行保护控制方法与高效变流机制，提高可再生能源制氢系统效率；揭示氢气在地下多孔储层中传质与输运机理和特性，提高地下储层储氢性能。</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w:t>
      </w:r>
      <w:r w:rsidRPr="007A25E0">
        <w:rPr>
          <w:rFonts w:ascii="宋体" w:eastAsia="宋体" w:hAnsi="宋体" w:cs="宋体" w:hint="eastAsia"/>
          <w:b/>
          <w:bCs/>
          <w:color w:val="000000"/>
          <w:kern w:val="0"/>
          <w:sz w:val="24"/>
          <w:szCs w:val="24"/>
        </w:rPr>
        <w:t>二、资助方向</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w:t>
      </w:r>
      <w:r w:rsidRPr="007A25E0">
        <w:rPr>
          <w:rFonts w:ascii="宋体" w:eastAsia="宋体" w:hAnsi="宋体" w:cs="宋体" w:hint="eastAsia"/>
          <w:b/>
          <w:bCs/>
          <w:color w:val="000000"/>
          <w:kern w:val="0"/>
          <w:sz w:val="24"/>
          <w:szCs w:val="24"/>
        </w:rPr>
        <w:t>（一）制氢与碳的协同转化</w:t>
      </w:r>
      <w:r w:rsidRPr="007A25E0">
        <w:rPr>
          <w:rFonts w:ascii="宋体" w:eastAsia="宋体" w:hAnsi="宋体" w:cs="宋体" w:hint="eastAsia"/>
          <w:color w:val="000000"/>
          <w:kern w:val="0"/>
          <w:sz w:val="24"/>
          <w:szCs w:val="24"/>
        </w:rPr>
        <w:t>。</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阐明化石能源制氢中燃料化学能源头捕集CO</w:t>
      </w:r>
      <w:r w:rsidRPr="007A25E0">
        <w:rPr>
          <w:rFonts w:ascii="宋体" w:eastAsia="宋体" w:hAnsi="宋体" w:cs="宋体" w:hint="eastAsia"/>
          <w:color w:val="000000"/>
          <w:kern w:val="0"/>
          <w:sz w:val="24"/>
          <w:szCs w:val="24"/>
          <w:vertAlign w:val="subscript"/>
        </w:rPr>
        <w:t>2</w:t>
      </w:r>
      <w:r w:rsidRPr="007A25E0">
        <w:rPr>
          <w:rFonts w:ascii="宋体" w:eastAsia="宋体" w:hAnsi="宋体" w:cs="宋体" w:hint="eastAsia"/>
          <w:color w:val="000000"/>
          <w:kern w:val="0"/>
          <w:sz w:val="24"/>
          <w:szCs w:val="24"/>
        </w:rPr>
        <w:t>的机理，提出化石燃料制氢脱碳的协同转化理论与减少不可逆损失的调控方法，进行制氢与脱碳耦合的机理与方法验证，大幅降低</w:t>
      </w:r>
      <w:proofErr w:type="gramStart"/>
      <w:r w:rsidRPr="007A25E0">
        <w:rPr>
          <w:rFonts w:ascii="宋体" w:eastAsia="宋体" w:hAnsi="宋体" w:cs="宋体" w:hint="eastAsia"/>
          <w:color w:val="000000"/>
          <w:kern w:val="0"/>
          <w:sz w:val="24"/>
          <w:szCs w:val="24"/>
        </w:rPr>
        <w:t>制氢及碳捕获</w:t>
      </w:r>
      <w:proofErr w:type="gramEnd"/>
      <w:r w:rsidRPr="007A25E0">
        <w:rPr>
          <w:rFonts w:ascii="宋体" w:eastAsia="宋体" w:hAnsi="宋体" w:cs="宋体" w:hint="eastAsia"/>
          <w:color w:val="000000"/>
          <w:kern w:val="0"/>
          <w:sz w:val="24"/>
          <w:szCs w:val="24"/>
        </w:rPr>
        <w:t>能耗。</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w:t>
      </w:r>
      <w:r w:rsidRPr="007A25E0">
        <w:rPr>
          <w:rFonts w:ascii="宋体" w:eastAsia="宋体" w:hAnsi="宋体" w:cs="宋体" w:hint="eastAsia"/>
          <w:b/>
          <w:bCs/>
          <w:color w:val="000000"/>
          <w:kern w:val="0"/>
          <w:sz w:val="24"/>
          <w:szCs w:val="24"/>
        </w:rPr>
        <w:t>（二）</w:t>
      </w:r>
      <w:proofErr w:type="gramStart"/>
      <w:r w:rsidRPr="007A25E0">
        <w:rPr>
          <w:rFonts w:ascii="宋体" w:eastAsia="宋体" w:hAnsi="宋体" w:cs="宋体" w:hint="eastAsia"/>
          <w:b/>
          <w:bCs/>
          <w:color w:val="000000"/>
          <w:kern w:val="0"/>
          <w:sz w:val="24"/>
          <w:szCs w:val="24"/>
        </w:rPr>
        <w:t>可再生能源离网制氢</w:t>
      </w:r>
      <w:proofErr w:type="gramEnd"/>
      <w:r w:rsidRPr="007A25E0">
        <w:rPr>
          <w:rFonts w:ascii="宋体" w:eastAsia="宋体" w:hAnsi="宋体" w:cs="宋体" w:hint="eastAsia"/>
          <w:b/>
          <w:bCs/>
          <w:color w:val="000000"/>
          <w:kern w:val="0"/>
          <w:sz w:val="24"/>
          <w:szCs w:val="24"/>
        </w:rPr>
        <w:t>电能传输与变换</w:t>
      </w:r>
      <w:r w:rsidRPr="007A25E0">
        <w:rPr>
          <w:rFonts w:ascii="宋体" w:eastAsia="宋体" w:hAnsi="宋体" w:cs="宋体" w:hint="eastAsia"/>
          <w:color w:val="000000"/>
          <w:kern w:val="0"/>
          <w:sz w:val="24"/>
          <w:szCs w:val="24"/>
        </w:rPr>
        <w:t>。</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揭示波动性可再生能源</w:t>
      </w:r>
      <w:proofErr w:type="gramStart"/>
      <w:r w:rsidRPr="007A25E0">
        <w:rPr>
          <w:rFonts w:ascii="宋体" w:eastAsia="宋体" w:hAnsi="宋体" w:cs="宋体" w:hint="eastAsia"/>
          <w:color w:val="000000"/>
          <w:kern w:val="0"/>
          <w:sz w:val="24"/>
          <w:szCs w:val="24"/>
        </w:rPr>
        <w:t>直流离网制氢</w:t>
      </w:r>
      <w:proofErr w:type="gramEnd"/>
      <w:r w:rsidRPr="007A25E0">
        <w:rPr>
          <w:rFonts w:ascii="宋体" w:eastAsia="宋体" w:hAnsi="宋体" w:cs="宋体" w:hint="eastAsia"/>
          <w:color w:val="000000"/>
          <w:kern w:val="0"/>
          <w:sz w:val="24"/>
          <w:szCs w:val="24"/>
        </w:rPr>
        <w:t>系统能量传输分配规律与直流网络中源-氢接口暂态电磁耦合机理，提出可再生能源</w:t>
      </w:r>
      <w:proofErr w:type="gramStart"/>
      <w:r w:rsidRPr="007A25E0">
        <w:rPr>
          <w:rFonts w:ascii="宋体" w:eastAsia="宋体" w:hAnsi="宋体" w:cs="宋体" w:hint="eastAsia"/>
          <w:color w:val="000000"/>
          <w:kern w:val="0"/>
          <w:sz w:val="24"/>
          <w:szCs w:val="24"/>
        </w:rPr>
        <w:t>直流离网制氢</w:t>
      </w:r>
      <w:proofErr w:type="gramEnd"/>
      <w:r w:rsidRPr="007A25E0">
        <w:rPr>
          <w:rFonts w:ascii="宋体" w:eastAsia="宋体" w:hAnsi="宋体" w:cs="宋体" w:hint="eastAsia"/>
          <w:color w:val="000000"/>
          <w:kern w:val="0"/>
          <w:sz w:val="24"/>
          <w:szCs w:val="24"/>
        </w:rPr>
        <w:t>系统拓扑构建方法与快速协同保护控制机制，攻克可再生能源</w:t>
      </w:r>
      <w:proofErr w:type="gramStart"/>
      <w:r w:rsidRPr="007A25E0">
        <w:rPr>
          <w:rFonts w:ascii="宋体" w:eastAsia="宋体" w:hAnsi="宋体" w:cs="宋体" w:hint="eastAsia"/>
          <w:color w:val="000000"/>
          <w:kern w:val="0"/>
          <w:sz w:val="24"/>
          <w:szCs w:val="24"/>
        </w:rPr>
        <w:t>直流离网大规模</w:t>
      </w:r>
      <w:proofErr w:type="gramEnd"/>
      <w:r w:rsidRPr="007A25E0">
        <w:rPr>
          <w:rFonts w:ascii="宋体" w:eastAsia="宋体" w:hAnsi="宋体" w:cs="宋体" w:hint="eastAsia"/>
          <w:color w:val="000000"/>
          <w:kern w:val="0"/>
          <w:sz w:val="24"/>
          <w:szCs w:val="24"/>
        </w:rPr>
        <w:t>制氢系统高效变流与可靠经济运行关键技术。</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w:t>
      </w:r>
      <w:r w:rsidRPr="007A25E0">
        <w:rPr>
          <w:rFonts w:ascii="宋体" w:eastAsia="宋体" w:hAnsi="宋体" w:cs="宋体" w:hint="eastAsia"/>
          <w:b/>
          <w:bCs/>
          <w:color w:val="000000"/>
          <w:kern w:val="0"/>
          <w:sz w:val="24"/>
          <w:szCs w:val="24"/>
        </w:rPr>
        <w:t>（三）地下多孔储层中氢气输运与调控</w:t>
      </w:r>
      <w:r w:rsidRPr="007A25E0">
        <w:rPr>
          <w:rFonts w:ascii="宋体" w:eastAsia="宋体" w:hAnsi="宋体" w:cs="宋体" w:hint="eastAsia"/>
          <w:color w:val="000000"/>
          <w:kern w:val="0"/>
          <w:sz w:val="24"/>
          <w:szCs w:val="24"/>
        </w:rPr>
        <w:t>。</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阐明氢气与地下多孔储层流体多相多组分传质与输运机理，揭示不同地层深度和压力下氢气-地层流体-岩石-微生物的化学反应与流动传质耦合机制及损耗规律，提出地下多孔储层中氢气演化运移的预测方法与减小损耗的调控方法。</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w:t>
      </w:r>
      <w:r w:rsidRPr="007A25E0">
        <w:rPr>
          <w:rFonts w:ascii="宋体" w:eastAsia="宋体" w:hAnsi="宋体" w:cs="宋体" w:hint="eastAsia"/>
          <w:b/>
          <w:bCs/>
          <w:color w:val="000000"/>
          <w:kern w:val="0"/>
          <w:sz w:val="24"/>
          <w:szCs w:val="24"/>
        </w:rPr>
        <w:t>三、资助期限和资助强度</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lastRenderedPageBreak/>
        <w:t xml:space="preserve">　　本专项项目资助期限3年，申请书中研究期限应填写“2023年1月1日－2025年12月31日”，平均资助强度约300万元/项，拟资助3~4项。</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w:t>
      </w:r>
      <w:r w:rsidRPr="007A25E0">
        <w:rPr>
          <w:rFonts w:ascii="宋体" w:eastAsia="宋体" w:hAnsi="宋体" w:cs="宋体" w:hint="eastAsia"/>
          <w:b/>
          <w:bCs/>
          <w:color w:val="000000"/>
          <w:kern w:val="0"/>
          <w:sz w:val="24"/>
          <w:szCs w:val="24"/>
        </w:rPr>
        <w:t>四、申请要求及注意事项</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w:t>
      </w:r>
      <w:r w:rsidRPr="007A25E0">
        <w:rPr>
          <w:rFonts w:ascii="宋体" w:eastAsia="宋体" w:hAnsi="宋体" w:cs="宋体" w:hint="eastAsia"/>
          <w:b/>
          <w:bCs/>
          <w:color w:val="000000"/>
          <w:kern w:val="0"/>
          <w:sz w:val="24"/>
          <w:szCs w:val="24"/>
        </w:rPr>
        <w:t>（一）申请资格。</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1. 具有承担基础研究课题的经历。</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2. 具有高级专业技术职务（职称）。</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在站博士后研究人员、正在攻读研究生学位以及无工作单位或者所在单位不是依托单位的人员不得作为申请人进行申请。</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w:t>
      </w:r>
      <w:r w:rsidRPr="007A25E0">
        <w:rPr>
          <w:rFonts w:ascii="宋体" w:eastAsia="宋体" w:hAnsi="宋体" w:cs="宋体" w:hint="eastAsia"/>
          <w:b/>
          <w:bCs/>
          <w:color w:val="000000"/>
          <w:kern w:val="0"/>
          <w:sz w:val="24"/>
          <w:szCs w:val="24"/>
        </w:rPr>
        <w:t>（二）限项规定。</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1. 本专项项目从申请开始直到自然科学基金委做出资助与否决定之前，不计</w:t>
      </w:r>
      <w:proofErr w:type="gramStart"/>
      <w:r w:rsidRPr="007A25E0">
        <w:rPr>
          <w:rFonts w:ascii="宋体" w:eastAsia="宋体" w:hAnsi="宋体" w:cs="宋体" w:hint="eastAsia"/>
          <w:color w:val="000000"/>
          <w:kern w:val="0"/>
          <w:sz w:val="24"/>
          <w:szCs w:val="24"/>
        </w:rPr>
        <w:t>入申请</w:t>
      </w:r>
      <w:proofErr w:type="gramEnd"/>
      <w:r w:rsidRPr="007A25E0">
        <w:rPr>
          <w:rFonts w:ascii="宋体" w:eastAsia="宋体" w:hAnsi="宋体" w:cs="宋体" w:hint="eastAsia"/>
          <w:color w:val="000000"/>
          <w:kern w:val="0"/>
          <w:sz w:val="24"/>
          <w:szCs w:val="24"/>
        </w:rPr>
        <w:t>和承担总数范围，获资助后计入申请和承担总数范围。</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2. 申请人和主要参与者只能申请或参与申请1项本专项项目。</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3. 申请人同年只能申请1项专项项目中的研究项目。</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w:t>
      </w:r>
      <w:r w:rsidRPr="007A25E0">
        <w:rPr>
          <w:rFonts w:ascii="宋体" w:eastAsia="宋体" w:hAnsi="宋体" w:cs="宋体" w:hint="eastAsia"/>
          <w:b/>
          <w:bCs/>
          <w:color w:val="000000"/>
          <w:kern w:val="0"/>
          <w:sz w:val="24"/>
          <w:szCs w:val="24"/>
        </w:rPr>
        <w:t>（三）申请注意事项。</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1. 申请人在填报申请书前，应当认真阅读本“专项项目指南”《国家自然科学基金专项项目管理办法》《2022年度国家自然科学基金项目指南》的相关内容，不符合项目指南、管理办法和相关要求的申请项目不予受理。</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2. 本专项的申请提交时间为</w:t>
      </w:r>
      <w:r w:rsidRPr="007A25E0">
        <w:rPr>
          <w:rFonts w:ascii="宋体" w:eastAsia="宋体" w:hAnsi="宋体" w:cs="宋体" w:hint="eastAsia"/>
          <w:b/>
          <w:bCs/>
          <w:color w:val="000000"/>
          <w:kern w:val="0"/>
          <w:sz w:val="24"/>
          <w:szCs w:val="24"/>
        </w:rPr>
        <w:t>2022年11月8日-11月11日16时</w:t>
      </w:r>
      <w:r w:rsidRPr="007A25E0">
        <w:rPr>
          <w:rFonts w:ascii="宋体" w:eastAsia="宋体" w:hAnsi="宋体" w:cs="宋体" w:hint="eastAsia"/>
          <w:color w:val="000000"/>
          <w:kern w:val="0"/>
          <w:sz w:val="24"/>
          <w:szCs w:val="24"/>
        </w:rPr>
        <w:t>，以国家自然科学基金网络信息系统（以下简称信息系统）提交时间为准，</w:t>
      </w:r>
      <w:bookmarkStart w:id="1" w:name="_Hlk115247527"/>
      <w:r w:rsidRPr="007A25E0">
        <w:rPr>
          <w:rFonts w:ascii="宋体" w:eastAsia="宋体" w:hAnsi="宋体" w:cs="宋体" w:hint="eastAsia"/>
          <w:b/>
          <w:bCs/>
          <w:color w:val="000000"/>
          <w:kern w:val="0"/>
          <w:sz w:val="24"/>
          <w:szCs w:val="24"/>
        </w:rPr>
        <w:t>晚于截止时间提交的申请将不予受理</w:t>
      </w:r>
      <w:bookmarkEnd w:id="1"/>
      <w:r w:rsidRPr="007A25E0">
        <w:rPr>
          <w:rFonts w:ascii="宋体" w:eastAsia="宋体" w:hAnsi="宋体" w:cs="宋体" w:hint="eastAsia"/>
          <w:color w:val="000000"/>
          <w:kern w:val="0"/>
          <w:sz w:val="24"/>
          <w:szCs w:val="24"/>
        </w:rPr>
        <w:t>。</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3. 申请人应登录信息系统https://grants.nsfc.gov.cn，按照撰写提纲及相关要求撰写申请书。没有信息系统账号的申请人请向依托单位基金管理联系人申请开户。</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4. 申请人在进入信息系统后中首先选择“在线申请”-“新增项目申请”-“申请普通科学部项目”。申请书中的资助类别选择“专项项目”，亚类说明选择“研究项目”，附注说明选择“科学部综合研究项目”。根据申请的具体研究内容选择相应的申请代码（以E06或E07开头的申请代码）。</w:t>
      </w:r>
      <w:r w:rsidRPr="007A25E0">
        <w:rPr>
          <w:rFonts w:ascii="宋体" w:eastAsia="宋体" w:hAnsi="宋体" w:cs="宋体" w:hint="eastAsia"/>
          <w:b/>
          <w:bCs/>
          <w:color w:val="000000"/>
          <w:kern w:val="0"/>
          <w:sz w:val="24"/>
          <w:szCs w:val="24"/>
        </w:rPr>
        <w:t>以上选择不准确或未进行选择的项目申请将不予受理</w:t>
      </w:r>
      <w:r w:rsidRPr="007A25E0">
        <w:rPr>
          <w:rFonts w:ascii="宋体" w:eastAsia="宋体" w:hAnsi="宋体" w:cs="宋体" w:hint="eastAsia"/>
          <w:color w:val="000000"/>
          <w:kern w:val="0"/>
          <w:sz w:val="24"/>
          <w:szCs w:val="24"/>
        </w:rPr>
        <w:t>。</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lastRenderedPageBreak/>
        <w:t xml:space="preserve">　　5. </w:t>
      </w:r>
      <w:r w:rsidRPr="007A25E0">
        <w:rPr>
          <w:rFonts w:ascii="宋体" w:eastAsia="宋体" w:hAnsi="宋体" w:cs="宋体" w:hint="eastAsia"/>
          <w:b/>
          <w:bCs/>
          <w:color w:val="000000"/>
          <w:kern w:val="0"/>
          <w:sz w:val="24"/>
          <w:szCs w:val="24"/>
        </w:rPr>
        <w:t>本专项项目实行无纸化申请</w:t>
      </w:r>
      <w:r w:rsidRPr="007A25E0">
        <w:rPr>
          <w:rFonts w:ascii="宋体" w:eastAsia="宋体" w:hAnsi="宋体" w:cs="宋体" w:hint="eastAsia"/>
          <w:color w:val="000000"/>
          <w:kern w:val="0"/>
          <w:sz w:val="24"/>
          <w:szCs w:val="24"/>
        </w:rPr>
        <w:t>，申请人完成申请书撰写后，在线提交电子申请书及附件材料。依托单位只需在线确认电子申请书及附件材料，无须报送纸质申请书，但应对本单位申请人所提交申请材料的真实性和完整性进行认真审核。依托单位在截止时间前通过信息系统逐项确认并提交本单位电子申请书及附件材料；在截止时间后24小时内在线提交本单位项目申请清单。项目获批准后，依托单位将申请书的纸质签字盖章页装订在《资助项目计划书》最后，在规定的时间内按要求一并提交。签字盖章的信息应与信息系统中的电子申请书保持一致。</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6. 本专项每个项目的合作研究单位数合计不超过2个。</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w:t>
      </w:r>
      <w:r w:rsidRPr="007A25E0">
        <w:rPr>
          <w:rFonts w:ascii="宋体" w:eastAsia="宋体" w:hAnsi="宋体" w:cs="宋体" w:hint="eastAsia"/>
          <w:b/>
          <w:bCs/>
          <w:color w:val="000000"/>
          <w:kern w:val="0"/>
          <w:sz w:val="24"/>
          <w:szCs w:val="24"/>
        </w:rPr>
        <w:t>五 、咨询联系方式</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1. 填报过程中遇到的技术问题，可联系自然科学基金委信息中心协助解决，联系电话：010-62317474。</w:t>
      </w:r>
    </w:p>
    <w:p w:rsidR="007A25E0" w:rsidRPr="007A25E0" w:rsidRDefault="007A25E0" w:rsidP="007A25E0">
      <w:pPr>
        <w:widowControl/>
        <w:shd w:val="clear" w:color="auto" w:fill="FFFFFF"/>
        <w:spacing w:line="360" w:lineRule="auto"/>
        <w:rPr>
          <w:rFonts w:ascii="宋体" w:eastAsia="宋体" w:hAnsi="宋体" w:cs="宋体" w:hint="eastAsia"/>
          <w:color w:val="000000"/>
          <w:kern w:val="0"/>
          <w:sz w:val="24"/>
          <w:szCs w:val="24"/>
        </w:rPr>
      </w:pPr>
      <w:r w:rsidRPr="007A25E0">
        <w:rPr>
          <w:rFonts w:ascii="宋体" w:eastAsia="宋体" w:hAnsi="宋体" w:cs="宋体" w:hint="eastAsia"/>
          <w:color w:val="000000"/>
          <w:kern w:val="0"/>
          <w:sz w:val="24"/>
          <w:szCs w:val="24"/>
        </w:rPr>
        <w:t xml:space="preserve">　　2. 其他问题，可咨询自然科学基金委工程与材料科学部，咨询电话：010-62327131，邮箱：guanyg@nsfc.gov.cn。</w:t>
      </w:r>
    </w:p>
    <w:p w:rsidR="00580A06" w:rsidRPr="007A25E0" w:rsidRDefault="00284EB3" w:rsidP="007A25E0">
      <w:pPr>
        <w:spacing w:line="360" w:lineRule="auto"/>
        <w:rPr>
          <w:rFonts w:ascii="宋体" w:eastAsia="宋体" w:hAnsi="宋体"/>
          <w:sz w:val="24"/>
          <w:szCs w:val="24"/>
        </w:rPr>
      </w:pPr>
    </w:p>
    <w:sectPr w:rsidR="00580A06" w:rsidRPr="007A2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E0"/>
    <w:rsid w:val="00177596"/>
    <w:rsid w:val="00284EB3"/>
    <w:rsid w:val="00327ACE"/>
    <w:rsid w:val="003643BE"/>
    <w:rsid w:val="00534B4E"/>
    <w:rsid w:val="007A25E0"/>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21F1"/>
  <w15:chartTrackingRefBased/>
  <w15:docId w15:val="{1FDD1869-D53F-414E-930D-EEA0DC08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A25E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5E0"/>
    <w:rPr>
      <w:rFonts w:ascii="宋体" w:eastAsia="宋体" w:hAnsi="宋体" w:cs="宋体"/>
      <w:b/>
      <w:bCs/>
      <w:kern w:val="36"/>
      <w:sz w:val="48"/>
      <w:szCs w:val="48"/>
    </w:rPr>
  </w:style>
  <w:style w:type="character" w:styleId="a3">
    <w:name w:val="Hyperlink"/>
    <w:basedOn w:val="a0"/>
    <w:uiPriority w:val="99"/>
    <w:semiHidden/>
    <w:unhideWhenUsed/>
    <w:rsid w:val="007A25E0"/>
    <w:rPr>
      <w:color w:val="0000FF"/>
      <w:u w:val="single"/>
    </w:rPr>
  </w:style>
  <w:style w:type="character" w:customStyle="1" w:styleId="normal105">
    <w:name w:val="normal105"/>
    <w:basedOn w:val="a0"/>
    <w:rsid w:val="007A25E0"/>
  </w:style>
  <w:style w:type="paragraph" w:styleId="a4">
    <w:name w:val="Normal (Web)"/>
    <w:basedOn w:val="a"/>
    <w:uiPriority w:val="99"/>
    <w:semiHidden/>
    <w:unhideWhenUsed/>
    <w:rsid w:val="007A25E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560825">
      <w:bodyDiv w:val="1"/>
      <w:marLeft w:val="0"/>
      <w:marRight w:val="0"/>
      <w:marTop w:val="0"/>
      <w:marBottom w:val="0"/>
      <w:divBdr>
        <w:top w:val="none" w:sz="0" w:space="0" w:color="auto"/>
        <w:left w:val="none" w:sz="0" w:space="0" w:color="auto"/>
        <w:bottom w:val="none" w:sz="0" w:space="0" w:color="auto"/>
        <w:right w:val="none" w:sz="0" w:space="0" w:color="auto"/>
      </w:divBdr>
      <w:divsChild>
        <w:div w:id="172760958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299</Words>
  <Characters>1708</Characters>
  <Application>Microsoft Office Word</Application>
  <DocSecurity>0</DocSecurity>
  <Lines>14</Lines>
  <Paragraphs>4</Paragraphs>
  <ScaleCrop>false</ScaleCrop>
  <Company>CHINA</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2022-10-11T01:30:00Z</dcterms:created>
  <dcterms:modified xsi:type="dcterms:W3CDTF">2022-10-11T01:44:00Z</dcterms:modified>
</cp:coreProperties>
</file>