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E2D4F9">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2023-2024学年材料科学与技术学院研究生</w:t>
      </w:r>
    </w:p>
    <w:p w14:paraId="61EBA3DF">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特别奖学金评审办法</w:t>
      </w:r>
    </w:p>
    <w:p w14:paraId="54FC31E6">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val="en-US" w:eastAsia="zh-CN"/>
        </w:rPr>
      </w:pPr>
    </w:p>
    <w:p w14:paraId="21024851">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优秀研究生特别奖学金评审工作是研究生年度评优评奖工作的重要组成部分，也是加强学风建设、鼓励先进、激励研究生全面发展、特色发展的重要环节，根据</w:t>
      </w:r>
      <w:r>
        <w:rPr>
          <w:rFonts w:hint="eastAsia" w:eastAsia="仿宋_GB2312" w:cs="Times New Roman"/>
          <w:sz w:val="32"/>
          <w:szCs w:val="32"/>
          <w:lang w:val="en-US" w:eastAsia="zh-CN"/>
        </w:rPr>
        <w:t>学校</w:t>
      </w:r>
      <w:r>
        <w:rPr>
          <w:rFonts w:hint="default" w:ascii="Times New Roman" w:hAnsi="Times New Roman" w:eastAsia="仿宋_GB2312" w:cs="Times New Roman"/>
          <w:sz w:val="32"/>
          <w:szCs w:val="32"/>
          <w:lang w:val="en-US" w:eastAsia="zh-CN"/>
        </w:rPr>
        <w:t>《关于做好2023-2024学年优秀研究生特别奖学金与专项奖学金评选工作的通知》，结合学院研究生培养现状，特制定2023-2024学年材料科学与技术学院研究生特别奖学金评审办法。</w:t>
      </w:r>
    </w:p>
    <w:p w14:paraId="10FB5CB1">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评选对象</w:t>
      </w:r>
    </w:p>
    <w:p w14:paraId="084CCF7C">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参评对象为全日制非定向在校二、三年级硕士生和二、三、四、五年级博士生（含少数民族骨干生，五年级博士生仅限直博生，国家留学基金委资助的联合培养留学生、短期出国访学的研究生、中外联合培养全日制双硕士学位研究生，符合年级要求也可参评），具体年级、专业根据设奖单位要求审核。工程硕博士专项研究生在培养学院申请</w:t>
      </w:r>
      <w:r>
        <w:rPr>
          <w:rFonts w:hint="eastAsia" w:eastAsia="仿宋_GB2312" w:cs="Times New Roman"/>
          <w:sz w:val="32"/>
          <w:szCs w:val="32"/>
          <w:lang w:eastAsia="zh-CN"/>
        </w:rPr>
        <w:t>。</w:t>
      </w:r>
    </w:p>
    <w:p w14:paraId="37E3E7FD">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w:t>
      </w:r>
      <w:r>
        <w:rPr>
          <w:rFonts w:hint="default" w:ascii="黑体" w:hAnsi="黑体" w:eastAsia="黑体" w:cs="黑体"/>
          <w:sz w:val="32"/>
          <w:szCs w:val="32"/>
          <w:lang w:val="en-US" w:eastAsia="zh-CN"/>
        </w:rPr>
        <w:t>指标及额度</w:t>
      </w:r>
    </w:p>
    <w:p w14:paraId="145D12A5">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结合设奖单位要求和分配指标（指标分配详见附件</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，其中小米特等奖学金</w:t>
      </w:r>
      <w:r>
        <w:rPr>
          <w:rFonts w:hint="eastAsia" w:eastAsia="仿宋_GB2312" w:cs="Times New Roman"/>
          <w:sz w:val="32"/>
          <w:szCs w:val="32"/>
          <w:lang w:val="en-US" w:eastAsia="zh-CN"/>
        </w:rPr>
        <w:t>、比亚迪奖学金、苏州工业园区A类奖学金是推荐相应名额参加</w:t>
      </w:r>
      <w:r>
        <w:rPr>
          <w:rFonts w:hint="default" w:ascii="Times New Roman" w:hAnsi="Times New Roman" w:eastAsia="仿宋_GB2312" w:cs="Times New Roman"/>
          <w:sz w:val="32"/>
          <w:szCs w:val="32"/>
          <w:lang w:val="en-US" w:eastAsia="zh-CN"/>
        </w:rPr>
        <w:t>校级评审</w:t>
      </w:r>
      <w:r>
        <w:rPr>
          <w:rFonts w:hint="eastAsia" w:eastAsia="仿宋_GB2312" w:cs="Times New Roman"/>
          <w:sz w:val="32"/>
          <w:szCs w:val="32"/>
          <w:lang w:val="en-US" w:eastAsia="zh-CN"/>
        </w:rPr>
        <w:t>，由学校评审后公布最终获奖名单</w:t>
      </w:r>
      <w:r>
        <w:rPr>
          <w:rFonts w:hint="default" w:ascii="Times New Roman" w:hAnsi="Times New Roman" w:eastAsia="仿宋_GB2312" w:cs="Times New Roman"/>
          <w:sz w:val="32"/>
          <w:szCs w:val="32"/>
          <w:lang w:val="en-US" w:eastAsia="zh-CN"/>
        </w:rPr>
        <w:t>）。</w:t>
      </w:r>
    </w:p>
    <w:p w14:paraId="7D008941">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根据学校要求在评选时兼顾硕士生、博士生比例，具体奖项分配</w:t>
      </w:r>
      <w:r>
        <w:rPr>
          <w:rFonts w:hint="eastAsia" w:eastAsia="仿宋_GB2312" w:cs="Times New Roman"/>
          <w:sz w:val="32"/>
          <w:szCs w:val="32"/>
          <w:lang w:val="en-US" w:eastAsia="zh-CN"/>
        </w:rPr>
        <w:t>综合</w:t>
      </w:r>
      <w:r>
        <w:rPr>
          <w:rFonts w:hint="default" w:ascii="Times New Roman" w:hAnsi="Times New Roman" w:eastAsia="仿宋_GB2312" w:cs="Times New Roman"/>
          <w:sz w:val="32"/>
          <w:szCs w:val="32"/>
          <w:lang w:val="en-US" w:eastAsia="zh-CN"/>
        </w:rPr>
        <w:t>个人得分</w:t>
      </w:r>
      <w:r>
        <w:rPr>
          <w:rFonts w:hint="eastAsia" w:eastAsia="仿宋_GB2312" w:cs="Times New Roman"/>
          <w:sz w:val="32"/>
          <w:szCs w:val="32"/>
          <w:lang w:val="en-US" w:eastAsia="zh-CN"/>
        </w:rPr>
        <w:t>、志愿顺序等</w:t>
      </w:r>
      <w:r>
        <w:rPr>
          <w:rFonts w:hint="default" w:ascii="Times New Roman" w:hAnsi="Times New Roman" w:eastAsia="仿宋_GB2312" w:cs="Times New Roman"/>
          <w:sz w:val="32"/>
          <w:szCs w:val="32"/>
          <w:lang w:val="en-US" w:eastAsia="zh-CN"/>
        </w:rPr>
        <w:t>评定。</w:t>
      </w:r>
    </w:p>
    <w:p w14:paraId="44E5D06F">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申报人注意相关奖项的申报条件，例如各科目成绩要求、英语成绩、国际交流经历等，申报相关奖项时需提供对应支撑材料。</w:t>
      </w:r>
    </w:p>
    <w:p w14:paraId="54C7BDF1">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w:t>
      </w:r>
      <w:r>
        <w:rPr>
          <w:rFonts w:hint="default" w:ascii="黑体" w:hAnsi="黑体" w:eastAsia="黑体" w:cs="黑体"/>
          <w:sz w:val="32"/>
          <w:szCs w:val="32"/>
          <w:lang w:val="en-US" w:eastAsia="zh-CN"/>
        </w:rPr>
        <w:t>基本条件</w:t>
      </w:r>
    </w:p>
    <w:p w14:paraId="4C49FB83">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eastAsia="仿宋_GB2312" w:cs="Times New Roman"/>
          <w:sz w:val="32"/>
          <w:szCs w:val="32"/>
          <w:lang w:val="en-US" w:eastAsia="zh-CN"/>
        </w:rPr>
        <w:t xml:space="preserve">. </w:t>
      </w:r>
      <w:r>
        <w:rPr>
          <w:rFonts w:hint="default" w:ascii="Times New Roman" w:hAnsi="Times New Roman" w:eastAsia="仿宋_GB2312" w:cs="Times New Roman"/>
          <w:sz w:val="32"/>
          <w:szCs w:val="32"/>
        </w:rPr>
        <w:t>具有中华人民共和国国籍；</w:t>
      </w:r>
    </w:p>
    <w:p w14:paraId="5B98B97B">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eastAsia="仿宋_GB2312" w:cs="Times New Roman"/>
          <w:sz w:val="32"/>
          <w:szCs w:val="32"/>
          <w:lang w:val="en-US" w:eastAsia="zh-CN"/>
        </w:rPr>
        <w:t xml:space="preserve">. </w:t>
      </w:r>
      <w:r>
        <w:rPr>
          <w:rFonts w:hint="default" w:ascii="Times New Roman" w:hAnsi="Times New Roman" w:eastAsia="仿宋_GB2312" w:cs="Times New Roman"/>
          <w:sz w:val="32"/>
          <w:szCs w:val="32"/>
        </w:rPr>
        <w:t>政治立场正确，热爱社会主义祖国，拥护中国共产党的领导；</w:t>
      </w:r>
    </w:p>
    <w:p w14:paraId="3A7AE153">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eastAsia" w:eastAsia="仿宋_GB2312" w:cs="Times New Roman"/>
          <w:sz w:val="32"/>
          <w:szCs w:val="32"/>
          <w:lang w:val="en-US" w:eastAsia="zh-CN"/>
        </w:rPr>
        <w:t xml:space="preserve">. </w:t>
      </w:r>
      <w:r>
        <w:rPr>
          <w:rFonts w:hint="default" w:ascii="Times New Roman" w:hAnsi="Times New Roman" w:eastAsia="仿宋_GB2312" w:cs="Times New Roman"/>
          <w:sz w:val="32"/>
          <w:szCs w:val="32"/>
        </w:rPr>
        <w:t>遵守宪法和法律，遵守高等学校规章制度，无安全、保密方面的严重违规记录，无违纪处分记录；</w:t>
      </w:r>
    </w:p>
    <w:p w14:paraId="35AE2F5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eastAsia" w:eastAsia="仿宋_GB2312" w:cs="Times New Roman"/>
          <w:sz w:val="32"/>
          <w:szCs w:val="32"/>
          <w:lang w:val="en-US" w:eastAsia="zh-CN"/>
        </w:rPr>
        <w:t xml:space="preserve">. </w:t>
      </w:r>
      <w:r>
        <w:rPr>
          <w:rFonts w:hint="default" w:ascii="Times New Roman" w:hAnsi="Times New Roman" w:eastAsia="仿宋_GB2312" w:cs="Times New Roman"/>
          <w:sz w:val="32"/>
          <w:szCs w:val="32"/>
        </w:rPr>
        <w:t>诚实守信，道德品质优良，师生认可度高；</w:t>
      </w:r>
    </w:p>
    <w:p w14:paraId="5DE4A5DB">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eastAsia" w:eastAsia="仿宋_GB2312" w:cs="Times New Roman"/>
          <w:sz w:val="32"/>
          <w:szCs w:val="32"/>
          <w:lang w:val="en-US" w:eastAsia="zh-CN"/>
        </w:rPr>
        <w:t xml:space="preserve">. </w:t>
      </w:r>
      <w:r>
        <w:rPr>
          <w:rFonts w:hint="default" w:ascii="Times New Roman" w:hAnsi="Times New Roman" w:eastAsia="仿宋_GB2312" w:cs="Times New Roman"/>
          <w:sz w:val="32"/>
          <w:szCs w:val="32"/>
        </w:rPr>
        <w:t>学习成绩优异，学习课程无不及格记录；</w:t>
      </w:r>
    </w:p>
    <w:p w14:paraId="67141596">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eastAsia" w:eastAsia="仿宋_GB2312" w:cs="Times New Roman"/>
          <w:sz w:val="32"/>
          <w:szCs w:val="32"/>
          <w:lang w:eastAsia="zh-CN"/>
        </w:rPr>
        <w:t>.</w:t>
      </w:r>
      <w:r>
        <w:rPr>
          <w:rFonts w:hint="eastAsia" w:eastAsia="仿宋_GB2312" w:cs="Times New Roman"/>
          <w:sz w:val="32"/>
          <w:szCs w:val="32"/>
          <w:lang w:val="en-US" w:eastAsia="zh-CN"/>
        </w:rPr>
        <w:t xml:space="preserve"> </w:t>
      </w:r>
      <w:r>
        <w:rPr>
          <w:rFonts w:hint="default" w:ascii="Times New Roman" w:hAnsi="Times New Roman" w:eastAsia="仿宋_GB2312" w:cs="Times New Roman"/>
          <w:sz w:val="32"/>
          <w:szCs w:val="32"/>
        </w:rPr>
        <w:t>科研能力显著，</w:t>
      </w:r>
      <w:r>
        <w:rPr>
          <w:rFonts w:hint="default" w:ascii="Times New Roman" w:hAnsi="Times New Roman" w:eastAsia="仿宋_GB2312" w:cs="Times New Roman"/>
          <w:sz w:val="32"/>
          <w:szCs w:val="32"/>
          <w:lang w:val="en-US" w:eastAsia="zh-CN"/>
        </w:rPr>
        <w:t>具有标志性科研成果</w:t>
      </w:r>
      <w:r>
        <w:rPr>
          <w:rFonts w:hint="default" w:ascii="Times New Roman" w:hAnsi="Times New Roman" w:eastAsia="仿宋_GB2312" w:cs="Times New Roman"/>
          <w:sz w:val="32"/>
          <w:szCs w:val="32"/>
        </w:rPr>
        <w:t>。</w:t>
      </w:r>
    </w:p>
    <w:p w14:paraId="585AF2B5">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四、相关要求</w:t>
      </w:r>
    </w:p>
    <w:p w14:paraId="775402C1">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 xml:space="preserve">1. </w:t>
      </w:r>
      <w:r>
        <w:rPr>
          <w:rFonts w:hint="default" w:ascii="Times New Roman" w:hAnsi="Times New Roman" w:eastAsia="仿宋_GB2312" w:cs="Times New Roman"/>
          <w:sz w:val="32"/>
          <w:szCs w:val="32"/>
          <w:lang w:val="en-US" w:eastAsia="zh-CN"/>
        </w:rPr>
        <w:t>原则上特别奖学金与其他各类奖学金荣誉兼得，奖金就高发放；与2024年研究生国家奖学金不能兼得。</w:t>
      </w:r>
    </w:p>
    <w:p w14:paraId="002ECF49">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 xml:space="preserve">2. </w:t>
      </w:r>
      <w:r>
        <w:rPr>
          <w:rFonts w:hint="default" w:ascii="Times New Roman" w:hAnsi="Times New Roman" w:eastAsia="仿宋_GB2312" w:cs="Times New Roman"/>
          <w:sz w:val="32"/>
          <w:szCs w:val="32"/>
          <w:lang w:val="en-US" w:eastAsia="zh-CN"/>
        </w:rPr>
        <w:t>所提交的各类成果需为2023年9月1日-2024年8月31日期间获得。</w:t>
      </w:r>
    </w:p>
    <w:p w14:paraId="533CBB33">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五、评分细则</w:t>
      </w:r>
    </w:p>
    <w:p w14:paraId="1F117530">
      <w:pPr>
        <w:spacing w:line="324"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科研成果评分</w:t>
      </w:r>
    </w:p>
    <w:p w14:paraId="2F127183">
      <w:pPr>
        <w:spacing w:line="324" w:lineRule="auto"/>
        <w:ind w:firstLine="800" w:firstLineChars="25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（1）学术论文、发明专利和软件著作权</w:t>
      </w:r>
    </w:p>
    <w:p w14:paraId="4B145F50">
      <w:pPr>
        <w:spacing w:line="324"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学术论文、发明专利和软件著作权认定分数如下表所示：</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18"/>
        <w:gridCol w:w="1662"/>
        <w:gridCol w:w="1754"/>
      </w:tblGrid>
      <w:tr w14:paraId="6D3E1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418" w:type="dxa"/>
            <w:vAlign w:val="center"/>
          </w:tcPr>
          <w:p w14:paraId="04521596">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成果类别</w:t>
            </w:r>
          </w:p>
        </w:tc>
        <w:tc>
          <w:tcPr>
            <w:tcW w:w="3416" w:type="dxa"/>
            <w:gridSpan w:val="2"/>
            <w:vAlign w:val="center"/>
          </w:tcPr>
          <w:p w14:paraId="178332BD">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认定情况</w:t>
            </w:r>
          </w:p>
        </w:tc>
      </w:tr>
      <w:tr w14:paraId="0140B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18" w:type="dxa"/>
            <w:vMerge w:val="restart"/>
            <w:vAlign w:val="center"/>
          </w:tcPr>
          <w:p w14:paraId="0C9FF290">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SCI/SCIE期刊论文</w:t>
            </w:r>
          </w:p>
        </w:tc>
        <w:tc>
          <w:tcPr>
            <w:tcW w:w="1662" w:type="dxa"/>
            <w:vAlign w:val="center"/>
          </w:tcPr>
          <w:p w14:paraId="5811CAF1">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分区</w:t>
            </w:r>
          </w:p>
        </w:tc>
        <w:tc>
          <w:tcPr>
            <w:tcW w:w="1754" w:type="dxa"/>
            <w:vAlign w:val="center"/>
          </w:tcPr>
          <w:p w14:paraId="06D8C28E">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认定分数</w:t>
            </w:r>
          </w:p>
        </w:tc>
      </w:tr>
      <w:tr w14:paraId="45E2E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3418" w:type="dxa"/>
            <w:vMerge w:val="continue"/>
            <w:vAlign w:val="center"/>
          </w:tcPr>
          <w:p w14:paraId="1F4DB1E2">
            <w:pPr>
              <w:spacing w:line="324" w:lineRule="auto"/>
              <w:jc w:val="center"/>
              <w:rPr>
                <w:rFonts w:hint="default" w:ascii="Times New Roman" w:hAnsi="Times New Roman" w:eastAsia="仿宋_GB2312" w:cs="Times New Roman"/>
                <w:color w:val="auto"/>
                <w:sz w:val="32"/>
                <w:szCs w:val="32"/>
                <w:highlight w:val="none"/>
              </w:rPr>
            </w:pPr>
          </w:p>
        </w:tc>
        <w:tc>
          <w:tcPr>
            <w:tcW w:w="1662" w:type="dxa"/>
            <w:vAlign w:val="center"/>
          </w:tcPr>
          <w:p w14:paraId="096F1B4A">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顶级期刊</w:t>
            </w:r>
          </w:p>
        </w:tc>
        <w:tc>
          <w:tcPr>
            <w:tcW w:w="1754" w:type="dxa"/>
            <w:vAlign w:val="center"/>
          </w:tcPr>
          <w:p w14:paraId="349064CD">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200/300</w:t>
            </w:r>
          </w:p>
        </w:tc>
      </w:tr>
      <w:tr w14:paraId="31E47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3418" w:type="dxa"/>
            <w:vMerge w:val="continue"/>
            <w:vAlign w:val="center"/>
          </w:tcPr>
          <w:p w14:paraId="702CC1B7">
            <w:pPr>
              <w:spacing w:line="324" w:lineRule="auto"/>
              <w:jc w:val="center"/>
              <w:rPr>
                <w:rFonts w:hint="default" w:ascii="Times New Roman" w:hAnsi="Times New Roman" w:eastAsia="仿宋_GB2312" w:cs="Times New Roman"/>
                <w:color w:val="auto"/>
                <w:sz w:val="32"/>
                <w:szCs w:val="32"/>
                <w:highlight w:val="none"/>
              </w:rPr>
            </w:pPr>
          </w:p>
        </w:tc>
        <w:tc>
          <w:tcPr>
            <w:tcW w:w="1662" w:type="dxa"/>
            <w:vAlign w:val="center"/>
          </w:tcPr>
          <w:p w14:paraId="26C617B9">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p>
        </w:tc>
        <w:tc>
          <w:tcPr>
            <w:tcW w:w="1754" w:type="dxa"/>
            <w:vAlign w:val="center"/>
          </w:tcPr>
          <w:p w14:paraId="2C9698D2">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100</w:t>
            </w:r>
          </w:p>
        </w:tc>
      </w:tr>
      <w:tr w14:paraId="2C3C5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18" w:type="dxa"/>
            <w:vMerge w:val="continue"/>
            <w:vAlign w:val="center"/>
          </w:tcPr>
          <w:p w14:paraId="23111BFA">
            <w:pPr>
              <w:spacing w:line="324" w:lineRule="auto"/>
              <w:jc w:val="center"/>
              <w:rPr>
                <w:rFonts w:hint="default" w:ascii="Times New Roman" w:hAnsi="Times New Roman" w:eastAsia="仿宋_GB2312" w:cs="Times New Roman"/>
                <w:color w:val="auto"/>
                <w:sz w:val="32"/>
                <w:szCs w:val="32"/>
                <w:highlight w:val="none"/>
              </w:rPr>
            </w:pPr>
          </w:p>
        </w:tc>
        <w:tc>
          <w:tcPr>
            <w:tcW w:w="1662" w:type="dxa"/>
            <w:vAlign w:val="center"/>
          </w:tcPr>
          <w:p w14:paraId="2EF79236">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w:t>
            </w:r>
          </w:p>
        </w:tc>
        <w:tc>
          <w:tcPr>
            <w:tcW w:w="1754" w:type="dxa"/>
            <w:vAlign w:val="center"/>
          </w:tcPr>
          <w:p w14:paraId="301C584A">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65</w:t>
            </w:r>
          </w:p>
        </w:tc>
      </w:tr>
      <w:tr w14:paraId="5E0BE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18" w:type="dxa"/>
            <w:vMerge w:val="continue"/>
            <w:vAlign w:val="center"/>
          </w:tcPr>
          <w:p w14:paraId="50A9D866">
            <w:pPr>
              <w:spacing w:line="324" w:lineRule="auto"/>
              <w:jc w:val="center"/>
              <w:rPr>
                <w:rFonts w:hint="default" w:ascii="Times New Roman" w:hAnsi="Times New Roman" w:eastAsia="仿宋_GB2312" w:cs="Times New Roman"/>
                <w:color w:val="auto"/>
                <w:sz w:val="32"/>
                <w:szCs w:val="32"/>
                <w:highlight w:val="none"/>
              </w:rPr>
            </w:pPr>
          </w:p>
        </w:tc>
        <w:tc>
          <w:tcPr>
            <w:tcW w:w="1662" w:type="dxa"/>
            <w:vAlign w:val="center"/>
          </w:tcPr>
          <w:p w14:paraId="53369FA2">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w:t>
            </w:r>
          </w:p>
        </w:tc>
        <w:tc>
          <w:tcPr>
            <w:tcW w:w="1754" w:type="dxa"/>
            <w:vAlign w:val="center"/>
          </w:tcPr>
          <w:p w14:paraId="5AE000CD">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40</w:t>
            </w:r>
          </w:p>
        </w:tc>
      </w:tr>
      <w:tr w14:paraId="2BD1C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18" w:type="dxa"/>
            <w:vMerge w:val="continue"/>
          </w:tcPr>
          <w:p w14:paraId="3CC3DBCB">
            <w:pPr>
              <w:spacing w:line="324" w:lineRule="auto"/>
              <w:jc w:val="center"/>
              <w:rPr>
                <w:rFonts w:hint="default" w:ascii="Times New Roman" w:hAnsi="Times New Roman" w:eastAsia="仿宋_GB2312" w:cs="Times New Roman"/>
                <w:color w:val="auto"/>
                <w:sz w:val="32"/>
                <w:szCs w:val="32"/>
                <w:highlight w:val="none"/>
              </w:rPr>
            </w:pPr>
          </w:p>
        </w:tc>
        <w:tc>
          <w:tcPr>
            <w:tcW w:w="1662" w:type="dxa"/>
            <w:vAlign w:val="center"/>
          </w:tcPr>
          <w:p w14:paraId="404EE14B">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w:t>
            </w:r>
          </w:p>
        </w:tc>
        <w:tc>
          <w:tcPr>
            <w:tcW w:w="1754" w:type="dxa"/>
            <w:vAlign w:val="center"/>
          </w:tcPr>
          <w:p w14:paraId="467E4EB8">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25</w:t>
            </w:r>
          </w:p>
        </w:tc>
      </w:tr>
      <w:tr w14:paraId="73D19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18" w:type="dxa"/>
          </w:tcPr>
          <w:p w14:paraId="71B87C45">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EI或T1/T2期刊论文</w:t>
            </w:r>
          </w:p>
        </w:tc>
        <w:tc>
          <w:tcPr>
            <w:tcW w:w="3416" w:type="dxa"/>
            <w:gridSpan w:val="2"/>
            <w:vAlign w:val="center"/>
          </w:tcPr>
          <w:p w14:paraId="16F59644">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15</w:t>
            </w:r>
          </w:p>
        </w:tc>
      </w:tr>
      <w:tr w14:paraId="7500D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18" w:type="dxa"/>
          </w:tcPr>
          <w:p w14:paraId="43C242DA">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授权发明专利</w:t>
            </w:r>
          </w:p>
        </w:tc>
        <w:tc>
          <w:tcPr>
            <w:tcW w:w="3416" w:type="dxa"/>
            <w:gridSpan w:val="2"/>
            <w:vAlign w:val="center"/>
          </w:tcPr>
          <w:p w14:paraId="7C408F4B">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50</w:t>
            </w:r>
          </w:p>
        </w:tc>
      </w:tr>
      <w:tr w14:paraId="1AFC7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18" w:type="dxa"/>
          </w:tcPr>
          <w:p w14:paraId="0C82545D">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公开</w:t>
            </w:r>
            <w:r>
              <w:rPr>
                <w:rFonts w:hint="default" w:ascii="Times New Roman" w:hAnsi="Times New Roman" w:eastAsia="仿宋_GB2312" w:cs="Times New Roman"/>
                <w:color w:val="auto"/>
                <w:sz w:val="32"/>
                <w:szCs w:val="32"/>
                <w:highlight w:val="none"/>
              </w:rPr>
              <w:t>发明专利</w:t>
            </w:r>
          </w:p>
        </w:tc>
        <w:tc>
          <w:tcPr>
            <w:tcW w:w="3416" w:type="dxa"/>
            <w:gridSpan w:val="2"/>
            <w:vAlign w:val="center"/>
          </w:tcPr>
          <w:p w14:paraId="22EE122A">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15</w:t>
            </w:r>
          </w:p>
        </w:tc>
      </w:tr>
      <w:tr w14:paraId="6FBAC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18" w:type="dxa"/>
          </w:tcPr>
          <w:p w14:paraId="1C79A797">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软件著作权</w:t>
            </w:r>
          </w:p>
        </w:tc>
        <w:tc>
          <w:tcPr>
            <w:tcW w:w="3416" w:type="dxa"/>
            <w:gridSpan w:val="2"/>
            <w:vAlign w:val="center"/>
          </w:tcPr>
          <w:p w14:paraId="7F9E2447">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15</w:t>
            </w:r>
          </w:p>
        </w:tc>
      </w:tr>
    </w:tbl>
    <w:p w14:paraId="0ED70EC6">
      <w:pPr>
        <w:spacing w:line="324"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同时，对于期刊论文、发明专利和软件著作权的认定作以下补充说明：</w:t>
      </w:r>
    </w:p>
    <w:p w14:paraId="6DF9E109">
      <w:pPr>
        <w:spacing w:line="324"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a．SCI学术论文参照我校科研院对论文分区的评价方法，SCI/SCIE分区表以中科院公布的《2023年中国科学院文献情报中心期刊分区表》查询结果为准，并以期刊对应的“大类分区”查询结果为准。如SCI期刊暂无分区信息，则以4区期刊认定分数计分。</w:t>
      </w:r>
    </w:p>
    <w:p w14:paraId="2C77F1DC">
      <w:pPr>
        <w:spacing w:line="324"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b．EI、T1/T2学术期刊论文不区分中、英文期刊。</w:t>
      </w:r>
    </w:p>
    <w:p w14:paraId="65E896EB">
      <w:pPr>
        <w:spacing w:line="324"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c．单篇论文同为SCI、EI的，不重复统计，以最高分数为准。</w:t>
      </w:r>
    </w:p>
    <w:p w14:paraId="2D921F60">
      <w:pPr>
        <w:spacing w:line="324"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d．申报的论文必须已正式出版（含电子版出版）或有导师签字确认的论文接收函证明。论文第一完成单位应为南京航空航天大学，且申报人为论文的第一作者或导师第一作者，学生第二作者。其中，导师（研究生院系统认定为准）第一作者、学生第二作者的，学生分数乘以系数0.6，且仅限认定1篇。若共同第一作者的，按照第一作者人数均分分数，硕士生仅限认定1篇，博士生仅限认定2篇。</w:t>
      </w:r>
    </w:p>
    <w:p w14:paraId="637D38EA">
      <w:pPr>
        <w:spacing w:line="324"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e．顶级期刊论文的认定以自然指数期刊论文为主，原则上Science、Nature子刊级论文计300分，其他自然指数期刊论文为200分（其中Applied Physics Letters、Chemical Communications两本期刊按照</w:t>
      </w:r>
      <w:r>
        <w:rPr>
          <w:rFonts w:hint="default" w:ascii="Times New Roman" w:hAnsi="Times New Roman" w:eastAsia="仿宋_GB2312" w:cs="Times New Roman"/>
          <w:color w:val="auto"/>
          <w:sz w:val="32"/>
          <w:szCs w:val="32"/>
          <w:highlight w:val="none"/>
          <w:lang w:val="en-US" w:eastAsia="zh-CN"/>
        </w:rPr>
        <w:t>分区表的实际分区</w:t>
      </w:r>
      <w:r>
        <w:rPr>
          <w:rFonts w:hint="default" w:ascii="Times New Roman" w:hAnsi="Times New Roman" w:eastAsia="仿宋_GB2312" w:cs="Times New Roman"/>
          <w:color w:val="auto"/>
          <w:sz w:val="32"/>
          <w:szCs w:val="32"/>
          <w:highlight w:val="none"/>
        </w:rPr>
        <w:t>认定）；为鼓励学生发表高质量学术论文，就发表论文所在期刊不在“顶级期刊”目录中的特殊情况，特提供“特殊通道”——允许学生自主申报，由学院研究生国家奖学金评审委员会单独审议决定。</w:t>
      </w:r>
    </w:p>
    <w:p w14:paraId="124E27FE">
      <w:pPr>
        <w:spacing w:line="324"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f． 发明专利、软件著作权只统计申请人个人排名前三名的发明专利和软件著作权，第一完成单位应为南京航空航天大学，且申报人为学生发明人中排名第一。</w:t>
      </w:r>
    </w:p>
    <w:p w14:paraId="0C963D99">
      <w:pPr>
        <w:spacing w:line="324"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g. 为鼓励研究生学术成果产出“求质不求量”，实行“学术成果代表作”制度。硕士生申报学术期刊论文最多2篇；发明专利（含授权和</w:t>
      </w:r>
      <w:r>
        <w:rPr>
          <w:rFonts w:hint="default" w:ascii="Times New Roman" w:hAnsi="Times New Roman" w:eastAsia="仿宋_GB2312" w:cs="Times New Roman"/>
          <w:color w:val="auto"/>
          <w:sz w:val="32"/>
          <w:szCs w:val="32"/>
          <w:highlight w:val="none"/>
          <w:lang w:val="en-US" w:eastAsia="zh-CN"/>
        </w:rPr>
        <w:t>公开</w:t>
      </w:r>
      <w:r>
        <w:rPr>
          <w:rFonts w:hint="default" w:ascii="Times New Roman" w:hAnsi="Times New Roman" w:eastAsia="仿宋_GB2312" w:cs="Times New Roman"/>
          <w:color w:val="auto"/>
          <w:sz w:val="32"/>
          <w:szCs w:val="32"/>
          <w:highlight w:val="none"/>
        </w:rPr>
        <w:t>）最多2项；软件著作权最多1项。博士生申报学术期刊论文最多3篇；发明专利（含授权和</w:t>
      </w:r>
      <w:r>
        <w:rPr>
          <w:rFonts w:hint="default" w:ascii="Times New Roman" w:hAnsi="Times New Roman" w:eastAsia="仿宋_GB2312" w:cs="Times New Roman"/>
          <w:color w:val="auto"/>
          <w:sz w:val="32"/>
          <w:szCs w:val="32"/>
          <w:highlight w:val="none"/>
          <w:lang w:val="en-US" w:eastAsia="zh-CN"/>
        </w:rPr>
        <w:t>公开</w:t>
      </w:r>
      <w:r>
        <w:rPr>
          <w:rFonts w:hint="default" w:ascii="Times New Roman" w:hAnsi="Times New Roman" w:eastAsia="仿宋_GB2312" w:cs="Times New Roman"/>
          <w:color w:val="auto"/>
          <w:sz w:val="32"/>
          <w:szCs w:val="32"/>
          <w:highlight w:val="none"/>
        </w:rPr>
        <w:t>）最多3项；软件著作权最多1项。</w:t>
      </w:r>
    </w:p>
    <w:p w14:paraId="1E0654C4">
      <w:pPr>
        <w:spacing w:line="324" w:lineRule="auto"/>
        <w:ind w:firstLine="800" w:firstLineChars="25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（2）竞赛获奖情况</w:t>
      </w:r>
    </w:p>
    <w:p w14:paraId="308B9E5F">
      <w:pPr>
        <w:spacing w:line="324"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以南京航空航天大学为第一单位名义参加“中国研究生创新实践系列竞赛”、中国国际大学生创新大赛（原“互联网+”大赛）、“挑战杯”中国大学生创业计划竞赛、“挑战杯”课外学术科技作品竞赛，根据奖项和排名情况认定如下：</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1701"/>
        <w:gridCol w:w="1842"/>
        <w:gridCol w:w="1985"/>
      </w:tblGrid>
      <w:tr w14:paraId="5B0B2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1560" w:type="dxa"/>
          </w:tcPr>
          <w:p w14:paraId="2AC2E93D">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竞赛级别</w:t>
            </w:r>
          </w:p>
        </w:tc>
        <w:tc>
          <w:tcPr>
            <w:tcW w:w="1701" w:type="dxa"/>
          </w:tcPr>
          <w:p w14:paraId="3A8464B5">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获奖层次</w:t>
            </w:r>
          </w:p>
        </w:tc>
        <w:tc>
          <w:tcPr>
            <w:tcW w:w="1842" w:type="dxa"/>
          </w:tcPr>
          <w:p w14:paraId="7FDD2DF1">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排名情况</w:t>
            </w:r>
          </w:p>
        </w:tc>
        <w:tc>
          <w:tcPr>
            <w:tcW w:w="1985" w:type="dxa"/>
          </w:tcPr>
          <w:p w14:paraId="051FFFF1">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认定分数</w:t>
            </w:r>
          </w:p>
        </w:tc>
      </w:tr>
      <w:tr w14:paraId="790B3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restart"/>
            <w:vAlign w:val="center"/>
          </w:tcPr>
          <w:p w14:paraId="5345822B">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全国</w:t>
            </w:r>
          </w:p>
        </w:tc>
        <w:tc>
          <w:tcPr>
            <w:tcW w:w="1701" w:type="dxa"/>
            <w:vMerge w:val="restart"/>
            <w:vAlign w:val="center"/>
          </w:tcPr>
          <w:p w14:paraId="62673482">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第一层次</w:t>
            </w:r>
          </w:p>
        </w:tc>
        <w:tc>
          <w:tcPr>
            <w:tcW w:w="1842" w:type="dxa"/>
            <w:vAlign w:val="center"/>
          </w:tcPr>
          <w:p w14:paraId="2F6ED63B">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p>
        </w:tc>
        <w:tc>
          <w:tcPr>
            <w:tcW w:w="1985" w:type="dxa"/>
            <w:vAlign w:val="center"/>
          </w:tcPr>
          <w:p w14:paraId="2D2930CE">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学校指标单列</w:t>
            </w:r>
          </w:p>
        </w:tc>
      </w:tr>
      <w:tr w14:paraId="7F5AD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vAlign w:val="center"/>
          </w:tcPr>
          <w:p w14:paraId="3BD265D4">
            <w:pPr>
              <w:spacing w:line="324" w:lineRule="auto"/>
              <w:jc w:val="center"/>
              <w:rPr>
                <w:rFonts w:hint="default" w:ascii="Times New Roman" w:hAnsi="Times New Roman" w:eastAsia="仿宋_GB2312" w:cs="Times New Roman"/>
                <w:color w:val="auto"/>
                <w:sz w:val="32"/>
                <w:szCs w:val="32"/>
                <w:highlight w:val="none"/>
              </w:rPr>
            </w:pPr>
          </w:p>
        </w:tc>
        <w:tc>
          <w:tcPr>
            <w:tcW w:w="1701" w:type="dxa"/>
            <w:vMerge w:val="continue"/>
            <w:vAlign w:val="center"/>
          </w:tcPr>
          <w:p w14:paraId="3EA0BE33">
            <w:pPr>
              <w:spacing w:line="324" w:lineRule="auto"/>
              <w:jc w:val="center"/>
              <w:rPr>
                <w:rFonts w:hint="default" w:ascii="Times New Roman" w:hAnsi="Times New Roman" w:eastAsia="仿宋_GB2312" w:cs="Times New Roman"/>
                <w:color w:val="auto"/>
                <w:sz w:val="32"/>
                <w:szCs w:val="32"/>
                <w:highlight w:val="none"/>
              </w:rPr>
            </w:pPr>
          </w:p>
        </w:tc>
        <w:tc>
          <w:tcPr>
            <w:tcW w:w="1842" w:type="dxa"/>
            <w:vAlign w:val="center"/>
          </w:tcPr>
          <w:p w14:paraId="48EBB5BE">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w:t>
            </w:r>
          </w:p>
        </w:tc>
        <w:tc>
          <w:tcPr>
            <w:tcW w:w="1985" w:type="dxa"/>
            <w:vAlign w:val="center"/>
          </w:tcPr>
          <w:p w14:paraId="25A14943">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100</w:t>
            </w:r>
          </w:p>
        </w:tc>
      </w:tr>
      <w:tr w14:paraId="72416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vAlign w:val="center"/>
          </w:tcPr>
          <w:p w14:paraId="55499A0C">
            <w:pPr>
              <w:spacing w:line="324" w:lineRule="auto"/>
              <w:jc w:val="center"/>
              <w:rPr>
                <w:rFonts w:hint="default" w:ascii="Times New Roman" w:hAnsi="Times New Roman" w:eastAsia="仿宋_GB2312" w:cs="Times New Roman"/>
                <w:color w:val="auto"/>
                <w:sz w:val="32"/>
                <w:szCs w:val="32"/>
                <w:highlight w:val="none"/>
              </w:rPr>
            </w:pPr>
          </w:p>
        </w:tc>
        <w:tc>
          <w:tcPr>
            <w:tcW w:w="1701" w:type="dxa"/>
            <w:vMerge w:val="continue"/>
            <w:vAlign w:val="center"/>
          </w:tcPr>
          <w:p w14:paraId="2BDCD187">
            <w:pPr>
              <w:spacing w:line="324" w:lineRule="auto"/>
              <w:jc w:val="center"/>
              <w:rPr>
                <w:rFonts w:hint="default" w:ascii="Times New Roman" w:hAnsi="Times New Roman" w:eastAsia="仿宋_GB2312" w:cs="Times New Roman"/>
                <w:color w:val="auto"/>
                <w:sz w:val="32"/>
                <w:szCs w:val="32"/>
                <w:highlight w:val="none"/>
              </w:rPr>
            </w:pPr>
          </w:p>
        </w:tc>
        <w:tc>
          <w:tcPr>
            <w:tcW w:w="1842" w:type="dxa"/>
            <w:vAlign w:val="center"/>
          </w:tcPr>
          <w:p w14:paraId="75812939">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w:t>
            </w:r>
          </w:p>
        </w:tc>
        <w:tc>
          <w:tcPr>
            <w:tcW w:w="1985" w:type="dxa"/>
            <w:vAlign w:val="center"/>
          </w:tcPr>
          <w:p w14:paraId="487929F9">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80</w:t>
            </w:r>
          </w:p>
        </w:tc>
      </w:tr>
      <w:tr w14:paraId="75D1F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vAlign w:val="center"/>
          </w:tcPr>
          <w:p w14:paraId="36BAE6F5">
            <w:pPr>
              <w:spacing w:line="324" w:lineRule="auto"/>
              <w:jc w:val="center"/>
              <w:rPr>
                <w:rFonts w:hint="default" w:ascii="Times New Roman" w:hAnsi="Times New Roman" w:eastAsia="仿宋_GB2312" w:cs="Times New Roman"/>
                <w:color w:val="auto"/>
                <w:sz w:val="32"/>
                <w:szCs w:val="32"/>
                <w:highlight w:val="none"/>
              </w:rPr>
            </w:pPr>
          </w:p>
        </w:tc>
        <w:tc>
          <w:tcPr>
            <w:tcW w:w="1701" w:type="dxa"/>
            <w:vMerge w:val="continue"/>
            <w:vAlign w:val="center"/>
          </w:tcPr>
          <w:p w14:paraId="68639C7E">
            <w:pPr>
              <w:spacing w:line="324" w:lineRule="auto"/>
              <w:jc w:val="center"/>
              <w:rPr>
                <w:rFonts w:hint="default" w:ascii="Times New Roman" w:hAnsi="Times New Roman" w:eastAsia="仿宋_GB2312" w:cs="Times New Roman"/>
                <w:color w:val="auto"/>
                <w:sz w:val="32"/>
                <w:szCs w:val="32"/>
                <w:highlight w:val="none"/>
              </w:rPr>
            </w:pPr>
          </w:p>
        </w:tc>
        <w:tc>
          <w:tcPr>
            <w:tcW w:w="1842" w:type="dxa"/>
            <w:vAlign w:val="center"/>
          </w:tcPr>
          <w:p w14:paraId="1AC9E006">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w:t>
            </w:r>
          </w:p>
        </w:tc>
        <w:tc>
          <w:tcPr>
            <w:tcW w:w="1985" w:type="dxa"/>
            <w:vAlign w:val="center"/>
          </w:tcPr>
          <w:p w14:paraId="2A5DD430">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60</w:t>
            </w:r>
          </w:p>
        </w:tc>
      </w:tr>
      <w:tr w14:paraId="06CF9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vAlign w:val="center"/>
          </w:tcPr>
          <w:p w14:paraId="4ECF62B0">
            <w:pPr>
              <w:spacing w:line="324" w:lineRule="auto"/>
              <w:jc w:val="center"/>
              <w:rPr>
                <w:rFonts w:hint="default" w:ascii="Times New Roman" w:hAnsi="Times New Roman" w:eastAsia="仿宋_GB2312" w:cs="Times New Roman"/>
                <w:color w:val="auto"/>
                <w:sz w:val="32"/>
                <w:szCs w:val="32"/>
                <w:highlight w:val="none"/>
              </w:rPr>
            </w:pPr>
          </w:p>
        </w:tc>
        <w:tc>
          <w:tcPr>
            <w:tcW w:w="1701" w:type="dxa"/>
            <w:vMerge w:val="restart"/>
            <w:vAlign w:val="center"/>
          </w:tcPr>
          <w:p w14:paraId="3E9C4C5A">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第二层次</w:t>
            </w:r>
          </w:p>
        </w:tc>
        <w:tc>
          <w:tcPr>
            <w:tcW w:w="1842" w:type="dxa"/>
            <w:vAlign w:val="center"/>
          </w:tcPr>
          <w:p w14:paraId="65D55666">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p>
        </w:tc>
        <w:tc>
          <w:tcPr>
            <w:tcW w:w="1985" w:type="dxa"/>
            <w:vAlign w:val="center"/>
          </w:tcPr>
          <w:p w14:paraId="7C3CACAE">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90</w:t>
            </w:r>
          </w:p>
        </w:tc>
      </w:tr>
      <w:tr w14:paraId="342AD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vAlign w:val="center"/>
          </w:tcPr>
          <w:p w14:paraId="5A7E3775">
            <w:pPr>
              <w:spacing w:line="324" w:lineRule="auto"/>
              <w:jc w:val="center"/>
              <w:rPr>
                <w:rFonts w:hint="default" w:ascii="Times New Roman" w:hAnsi="Times New Roman" w:eastAsia="仿宋_GB2312" w:cs="Times New Roman"/>
                <w:color w:val="auto"/>
                <w:sz w:val="32"/>
                <w:szCs w:val="32"/>
                <w:highlight w:val="none"/>
              </w:rPr>
            </w:pPr>
          </w:p>
        </w:tc>
        <w:tc>
          <w:tcPr>
            <w:tcW w:w="1701" w:type="dxa"/>
            <w:vMerge w:val="continue"/>
            <w:vAlign w:val="center"/>
          </w:tcPr>
          <w:p w14:paraId="638F58BB">
            <w:pPr>
              <w:spacing w:line="324" w:lineRule="auto"/>
              <w:jc w:val="center"/>
              <w:rPr>
                <w:rFonts w:hint="default" w:ascii="Times New Roman" w:hAnsi="Times New Roman" w:eastAsia="仿宋_GB2312" w:cs="Times New Roman"/>
                <w:color w:val="auto"/>
                <w:sz w:val="32"/>
                <w:szCs w:val="32"/>
                <w:highlight w:val="none"/>
              </w:rPr>
            </w:pPr>
          </w:p>
        </w:tc>
        <w:tc>
          <w:tcPr>
            <w:tcW w:w="1842" w:type="dxa"/>
            <w:vAlign w:val="center"/>
          </w:tcPr>
          <w:p w14:paraId="36B459FA">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w:t>
            </w:r>
          </w:p>
        </w:tc>
        <w:tc>
          <w:tcPr>
            <w:tcW w:w="1985" w:type="dxa"/>
            <w:vAlign w:val="center"/>
          </w:tcPr>
          <w:p w14:paraId="06887BDF">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70</w:t>
            </w:r>
          </w:p>
        </w:tc>
      </w:tr>
      <w:tr w14:paraId="5BAD2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vAlign w:val="center"/>
          </w:tcPr>
          <w:p w14:paraId="611B8259">
            <w:pPr>
              <w:spacing w:line="324" w:lineRule="auto"/>
              <w:jc w:val="center"/>
              <w:rPr>
                <w:rFonts w:hint="default" w:ascii="Times New Roman" w:hAnsi="Times New Roman" w:eastAsia="仿宋_GB2312" w:cs="Times New Roman"/>
                <w:color w:val="auto"/>
                <w:sz w:val="32"/>
                <w:szCs w:val="32"/>
                <w:highlight w:val="none"/>
              </w:rPr>
            </w:pPr>
          </w:p>
        </w:tc>
        <w:tc>
          <w:tcPr>
            <w:tcW w:w="1701" w:type="dxa"/>
            <w:vMerge w:val="continue"/>
            <w:vAlign w:val="center"/>
          </w:tcPr>
          <w:p w14:paraId="2D7F3547">
            <w:pPr>
              <w:spacing w:line="324" w:lineRule="auto"/>
              <w:jc w:val="center"/>
              <w:rPr>
                <w:rFonts w:hint="default" w:ascii="Times New Roman" w:hAnsi="Times New Roman" w:eastAsia="仿宋_GB2312" w:cs="Times New Roman"/>
                <w:color w:val="auto"/>
                <w:sz w:val="32"/>
                <w:szCs w:val="32"/>
                <w:highlight w:val="none"/>
              </w:rPr>
            </w:pPr>
          </w:p>
        </w:tc>
        <w:tc>
          <w:tcPr>
            <w:tcW w:w="1842" w:type="dxa"/>
            <w:vAlign w:val="center"/>
          </w:tcPr>
          <w:p w14:paraId="6349794D">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w:t>
            </w:r>
          </w:p>
        </w:tc>
        <w:tc>
          <w:tcPr>
            <w:tcW w:w="1985" w:type="dxa"/>
            <w:vAlign w:val="center"/>
          </w:tcPr>
          <w:p w14:paraId="5B379EF9">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60</w:t>
            </w:r>
          </w:p>
        </w:tc>
      </w:tr>
      <w:tr w14:paraId="27111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vAlign w:val="center"/>
          </w:tcPr>
          <w:p w14:paraId="3DD271D1">
            <w:pPr>
              <w:spacing w:line="324" w:lineRule="auto"/>
              <w:jc w:val="center"/>
              <w:rPr>
                <w:rFonts w:hint="default" w:ascii="Times New Roman" w:hAnsi="Times New Roman" w:eastAsia="仿宋_GB2312" w:cs="Times New Roman"/>
                <w:color w:val="auto"/>
                <w:sz w:val="32"/>
                <w:szCs w:val="32"/>
                <w:highlight w:val="none"/>
              </w:rPr>
            </w:pPr>
          </w:p>
        </w:tc>
        <w:tc>
          <w:tcPr>
            <w:tcW w:w="1701" w:type="dxa"/>
            <w:vMerge w:val="restart"/>
            <w:vAlign w:val="center"/>
          </w:tcPr>
          <w:p w14:paraId="5D38F8E2">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第三层次</w:t>
            </w:r>
          </w:p>
        </w:tc>
        <w:tc>
          <w:tcPr>
            <w:tcW w:w="1842" w:type="dxa"/>
            <w:vAlign w:val="center"/>
          </w:tcPr>
          <w:p w14:paraId="65DF26DC">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p>
        </w:tc>
        <w:tc>
          <w:tcPr>
            <w:tcW w:w="1985" w:type="dxa"/>
            <w:vAlign w:val="center"/>
          </w:tcPr>
          <w:p w14:paraId="0E85E3EE">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70</w:t>
            </w:r>
          </w:p>
        </w:tc>
      </w:tr>
      <w:tr w14:paraId="1906D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vAlign w:val="center"/>
          </w:tcPr>
          <w:p w14:paraId="780065CE">
            <w:pPr>
              <w:spacing w:line="324" w:lineRule="auto"/>
              <w:jc w:val="center"/>
              <w:rPr>
                <w:rFonts w:hint="default" w:ascii="Times New Roman" w:hAnsi="Times New Roman" w:eastAsia="仿宋_GB2312" w:cs="Times New Roman"/>
                <w:color w:val="auto"/>
                <w:sz w:val="32"/>
                <w:szCs w:val="32"/>
                <w:highlight w:val="none"/>
              </w:rPr>
            </w:pPr>
          </w:p>
        </w:tc>
        <w:tc>
          <w:tcPr>
            <w:tcW w:w="1701" w:type="dxa"/>
            <w:vMerge w:val="continue"/>
            <w:vAlign w:val="center"/>
          </w:tcPr>
          <w:p w14:paraId="20166203">
            <w:pPr>
              <w:spacing w:line="324" w:lineRule="auto"/>
              <w:jc w:val="center"/>
              <w:rPr>
                <w:rFonts w:hint="default" w:ascii="Times New Roman" w:hAnsi="Times New Roman" w:eastAsia="仿宋_GB2312" w:cs="Times New Roman"/>
                <w:color w:val="auto"/>
                <w:sz w:val="32"/>
                <w:szCs w:val="32"/>
                <w:highlight w:val="none"/>
              </w:rPr>
            </w:pPr>
          </w:p>
        </w:tc>
        <w:tc>
          <w:tcPr>
            <w:tcW w:w="1842" w:type="dxa"/>
            <w:vAlign w:val="center"/>
          </w:tcPr>
          <w:p w14:paraId="2797177C">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w:t>
            </w:r>
          </w:p>
        </w:tc>
        <w:tc>
          <w:tcPr>
            <w:tcW w:w="1985" w:type="dxa"/>
            <w:vAlign w:val="center"/>
          </w:tcPr>
          <w:p w14:paraId="1A1753C1">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60</w:t>
            </w:r>
          </w:p>
        </w:tc>
      </w:tr>
      <w:tr w14:paraId="4F4F5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vAlign w:val="center"/>
          </w:tcPr>
          <w:p w14:paraId="7A2E2352">
            <w:pPr>
              <w:spacing w:line="324" w:lineRule="auto"/>
              <w:jc w:val="center"/>
              <w:rPr>
                <w:rFonts w:hint="default" w:ascii="Times New Roman" w:hAnsi="Times New Roman" w:eastAsia="仿宋_GB2312" w:cs="Times New Roman"/>
                <w:color w:val="auto"/>
                <w:sz w:val="32"/>
                <w:szCs w:val="32"/>
                <w:highlight w:val="none"/>
              </w:rPr>
            </w:pPr>
          </w:p>
        </w:tc>
        <w:tc>
          <w:tcPr>
            <w:tcW w:w="1701" w:type="dxa"/>
            <w:vMerge w:val="continue"/>
            <w:vAlign w:val="center"/>
          </w:tcPr>
          <w:p w14:paraId="699EFA33">
            <w:pPr>
              <w:spacing w:line="324" w:lineRule="auto"/>
              <w:jc w:val="center"/>
              <w:rPr>
                <w:rFonts w:hint="default" w:ascii="Times New Roman" w:hAnsi="Times New Roman" w:eastAsia="仿宋_GB2312" w:cs="Times New Roman"/>
                <w:color w:val="auto"/>
                <w:sz w:val="32"/>
                <w:szCs w:val="32"/>
                <w:highlight w:val="none"/>
              </w:rPr>
            </w:pPr>
          </w:p>
        </w:tc>
        <w:tc>
          <w:tcPr>
            <w:tcW w:w="1842" w:type="dxa"/>
            <w:vAlign w:val="center"/>
          </w:tcPr>
          <w:p w14:paraId="7F66CBDE">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w:t>
            </w:r>
          </w:p>
        </w:tc>
        <w:tc>
          <w:tcPr>
            <w:tcW w:w="1985" w:type="dxa"/>
            <w:vAlign w:val="center"/>
          </w:tcPr>
          <w:p w14:paraId="4A39AD1E">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50</w:t>
            </w:r>
          </w:p>
        </w:tc>
      </w:tr>
      <w:tr w14:paraId="0B46A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restart"/>
            <w:vAlign w:val="center"/>
          </w:tcPr>
          <w:p w14:paraId="39844CEC">
            <w:pPr>
              <w:rPr>
                <w:rFonts w:hint="default" w:ascii="Times New Roman" w:hAnsi="Times New Roman" w:eastAsia="仿宋_GB2312" w:cs="Times New Roman"/>
                <w:color w:val="auto"/>
                <w:sz w:val="32"/>
                <w:szCs w:val="32"/>
                <w:highlight w:val="none"/>
              </w:rPr>
            </w:pPr>
          </w:p>
          <w:p w14:paraId="7AB1BA5E">
            <w:pPr>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省级</w:t>
            </w:r>
          </w:p>
        </w:tc>
        <w:tc>
          <w:tcPr>
            <w:tcW w:w="1701" w:type="dxa"/>
            <w:vMerge w:val="restart"/>
            <w:vAlign w:val="center"/>
          </w:tcPr>
          <w:p w14:paraId="6B01981D">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第一层次</w:t>
            </w:r>
          </w:p>
        </w:tc>
        <w:tc>
          <w:tcPr>
            <w:tcW w:w="1842" w:type="dxa"/>
            <w:vAlign w:val="center"/>
          </w:tcPr>
          <w:p w14:paraId="2DA20AE8">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p>
        </w:tc>
        <w:tc>
          <w:tcPr>
            <w:tcW w:w="1985" w:type="dxa"/>
            <w:vAlign w:val="center"/>
          </w:tcPr>
          <w:p w14:paraId="63C1FB9B">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50</w:t>
            </w:r>
          </w:p>
        </w:tc>
      </w:tr>
      <w:tr w14:paraId="2FCD7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vAlign w:val="center"/>
          </w:tcPr>
          <w:p w14:paraId="42A4548E">
            <w:pPr>
              <w:spacing w:line="324" w:lineRule="auto"/>
              <w:jc w:val="center"/>
              <w:rPr>
                <w:rFonts w:hint="default" w:ascii="Times New Roman" w:hAnsi="Times New Roman" w:eastAsia="仿宋_GB2312" w:cs="Times New Roman"/>
                <w:color w:val="auto"/>
                <w:sz w:val="32"/>
                <w:szCs w:val="32"/>
                <w:highlight w:val="none"/>
              </w:rPr>
            </w:pPr>
          </w:p>
        </w:tc>
        <w:tc>
          <w:tcPr>
            <w:tcW w:w="1701" w:type="dxa"/>
            <w:vMerge w:val="continue"/>
            <w:vAlign w:val="center"/>
          </w:tcPr>
          <w:p w14:paraId="4E31D212">
            <w:pPr>
              <w:spacing w:line="324" w:lineRule="auto"/>
              <w:jc w:val="center"/>
              <w:rPr>
                <w:rFonts w:hint="default" w:ascii="Times New Roman" w:hAnsi="Times New Roman" w:eastAsia="仿宋_GB2312" w:cs="Times New Roman"/>
                <w:color w:val="auto"/>
                <w:sz w:val="32"/>
                <w:szCs w:val="32"/>
                <w:highlight w:val="none"/>
              </w:rPr>
            </w:pPr>
          </w:p>
        </w:tc>
        <w:tc>
          <w:tcPr>
            <w:tcW w:w="1842" w:type="dxa"/>
            <w:vAlign w:val="center"/>
          </w:tcPr>
          <w:p w14:paraId="4C3D25CB">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w:t>
            </w:r>
          </w:p>
        </w:tc>
        <w:tc>
          <w:tcPr>
            <w:tcW w:w="1985" w:type="dxa"/>
            <w:vAlign w:val="center"/>
          </w:tcPr>
          <w:p w14:paraId="3664CAC0">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40</w:t>
            </w:r>
          </w:p>
        </w:tc>
      </w:tr>
      <w:tr w14:paraId="61021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vAlign w:val="center"/>
          </w:tcPr>
          <w:p w14:paraId="30585AFD">
            <w:pPr>
              <w:spacing w:line="324" w:lineRule="auto"/>
              <w:jc w:val="center"/>
              <w:rPr>
                <w:rFonts w:hint="default" w:ascii="Times New Roman" w:hAnsi="Times New Roman" w:eastAsia="仿宋_GB2312" w:cs="Times New Roman"/>
                <w:color w:val="auto"/>
                <w:sz w:val="32"/>
                <w:szCs w:val="32"/>
                <w:highlight w:val="none"/>
              </w:rPr>
            </w:pPr>
          </w:p>
        </w:tc>
        <w:tc>
          <w:tcPr>
            <w:tcW w:w="1701" w:type="dxa"/>
            <w:vMerge w:val="continue"/>
            <w:vAlign w:val="center"/>
          </w:tcPr>
          <w:p w14:paraId="0F8668AD">
            <w:pPr>
              <w:spacing w:line="324" w:lineRule="auto"/>
              <w:jc w:val="center"/>
              <w:rPr>
                <w:rFonts w:hint="default" w:ascii="Times New Roman" w:hAnsi="Times New Roman" w:eastAsia="仿宋_GB2312" w:cs="Times New Roman"/>
                <w:color w:val="auto"/>
                <w:sz w:val="32"/>
                <w:szCs w:val="32"/>
                <w:highlight w:val="none"/>
              </w:rPr>
            </w:pPr>
          </w:p>
        </w:tc>
        <w:tc>
          <w:tcPr>
            <w:tcW w:w="1842" w:type="dxa"/>
            <w:vAlign w:val="center"/>
          </w:tcPr>
          <w:p w14:paraId="0FF57CE8">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w:t>
            </w:r>
          </w:p>
        </w:tc>
        <w:tc>
          <w:tcPr>
            <w:tcW w:w="1985" w:type="dxa"/>
            <w:vAlign w:val="center"/>
          </w:tcPr>
          <w:p w14:paraId="1E2FEFB8">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30</w:t>
            </w:r>
          </w:p>
        </w:tc>
      </w:tr>
      <w:tr w14:paraId="5B459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vAlign w:val="center"/>
          </w:tcPr>
          <w:p w14:paraId="2AF6A709">
            <w:pPr>
              <w:spacing w:line="324" w:lineRule="auto"/>
              <w:jc w:val="center"/>
              <w:rPr>
                <w:rFonts w:hint="default" w:ascii="Times New Roman" w:hAnsi="Times New Roman" w:eastAsia="仿宋_GB2312" w:cs="Times New Roman"/>
                <w:color w:val="auto"/>
                <w:sz w:val="32"/>
                <w:szCs w:val="32"/>
                <w:highlight w:val="none"/>
              </w:rPr>
            </w:pPr>
          </w:p>
        </w:tc>
        <w:tc>
          <w:tcPr>
            <w:tcW w:w="1701" w:type="dxa"/>
            <w:vMerge w:val="restart"/>
            <w:vAlign w:val="center"/>
          </w:tcPr>
          <w:p w14:paraId="1C979CAF">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第二层次</w:t>
            </w:r>
          </w:p>
        </w:tc>
        <w:tc>
          <w:tcPr>
            <w:tcW w:w="1842" w:type="dxa"/>
            <w:vAlign w:val="center"/>
          </w:tcPr>
          <w:p w14:paraId="17CFCF8B">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p>
        </w:tc>
        <w:tc>
          <w:tcPr>
            <w:tcW w:w="1985" w:type="dxa"/>
            <w:vAlign w:val="center"/>
          </w:tcPr>
          <w:p w14:paraId="6E344B53">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40</w:t>
            </w:r>
          </w:p>
        </w:tc>
      </w:tr>
      <w:tr w14:paraId="51723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vAlign w:val="center"/>
          </w:tcPr>
          <w:p w14:paraId="77755990">
            <w:pPr>
              <w:spacing w:line="324" w:lineRule="auto"/>
              <w:jc w:val="center"/>
              <w:rPr>
                <w:rFonts w:hint="default" w:ascii="Times New Roman" w:hAnsi="Times New Roman" w:eastAsia="仿宋_GB2312" w:cs="Times New Roman"/>
                <w:color w:val="auto"/>
                <w:sz w:val="32"/>
                <w:szCs w:val="32"/>
                <w:highlight w:val="none"/>
              </w:rPr>
            </w:pPr>
          </w:p>
        </w:tc>
        <w:tc>
          <w:tcPr>
            <w:tcW w:w="1701" w:type="dxa"/>
            <w:vMerge w:val="continue"/>
            <w:vAlign w:val="center"/>
          </w:tcPr>
          <w:p w14:paraId="3EB8F679">
            <w:pPr>
              <w:spacing w:line="324" w:lineRule="auto"/>
              <w:jc w:val="center"/>
              <w:rPr>
                <w:rFonts w:hint="default" w:ascii="Times New Roman" w:hAnsi="Times New Roman" w:eastAsia="仿宋_GB2312" w:cs="Times New Roman"/>
                <w:color w:val="auto"/>
                <w:sz w:val="32"/>
                <w:szCs w:val="32"/>
                <w:highlight w:val="none"/>
              </w:rPr>
            </w:pPr>
          </w:p>
        </w:tc>
        <w:tc>
          <w:tcPr>
            <w:tcW w:w="1842" w:type="dxa"/>
            <w:vAlign w:val="center"/>
          </w:tcPr>
          <w:p w14:paraId="2FC5ED48">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w:t>
            </w:r>
          </w:p>
        </w:tc>
        <w:tc>
          <w:tcPr>
            <w:tcW w:w="1985" w:type="dxa"/>
            <w:vAlign w:val="center"/>
          </w:tcPr>
          <w:p w14:paraId="7FB2DC12">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30</w:t>
            </w:r>
          </w:p>
        </w:tc>
      </w:tr>
      <w:tr w14:paraId="7FE64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vAlign w:val="center"/>
          </w:tcPr>
          <w:p w14:paraId="15579F80">
            <w:pPr>
              <w:spacing w:line="324" w:lineRule="auto"/>
              <w:jc w:val="center"/>
              <w:rPr>
                <w:rFonts w:hint="default" w:ascii="Times New Roman" w:hAnsi="Times New Roman" w:eastAsia="仿宋_GB2312" w:cs="Times New Roman"/>
                <w:color w:val="auto"/>
                <w:sz w:val="32"/>
                <w:szCs w:val="32"/>
                <w:highlight w:val="none"/>
              </w:rPr>
            </w:pPr>
          </w:p>
        </w:tc>
        <w:tc>
          <w:tcPr>
            <w:tcW w:w="1701" w:type="dxa"/>
            <w:vMerge w:val="continue"/>
            <w:vAlign w:val="center"/>
          </w:tcPr>
          <w:p w14:paraId="68B1C2F4">
            <w:pPr>
              <w:spacing w:line="324" w:lineRule="auto"/>
              <w:jc w:val="center"/>
              <w:rPr>
                <w:rFonts w:hint="default" w:ascii="Times New Roman" w:hAnsi="Times New Roman" w:eastAsia="仿宋_GB2312" w:cs="Times New Roman"/>
                <w:color w:val="auto"/>
                <w:sz w:val="32"/>
                <w:szCs w:val="32"/>
                <w:highlight w:val="none"/>
              </w:rPr>
            </w:pPr>
          </w:p>
        </w:tc>
        <w:tc>
          <w:tcPr>
            <w:tcW w:w="1842" w:type="dxa"/>
            <w:vAlign w:val="center"/>
          </w:tcPr>
          <w:p w14:paraId="74267B51">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w:t>
            </w:r>
          </w:p>
        </w:tc>
        <w:tc>
          <w:tcPr>
            <w:tcW w:w="1985" w:type="dxa"/>
            <w:vAlign w:val="center"/>
          </w:tcPr>
          <w:p w14:paraId="000D795C">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w:t>
            </w:r>
          </w:p>
        </w:tc>
      </w:tr>
      <w:tr w14:paraId="4936A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vAlign w:val="center"/>
          </w:tcPr>
          <w:p w14:paraId="05930EC1">
            <w:pPr>
              <w:spacing w:line="324" w:lineRule="auto"/>
              <w:jc w:val="center"/>
              <w:rPr>
                <w:rFonts w:hint="default" w:ascii="Times New Roman" w:hAnsi="Times New Roman" w:eastAsia="仿宋_GB2312" w:cs="Times New Roman"/>
                <w:color w:val="auto"/>
                <w:sz w:val="32"/>
                <w:szCs w:val="32"/>
                <w:highlight w:val="none"/>
              </w:rPr>
            </w:pPr>
          </w:p>
        </w:tc>
        <w:tc>
          <w:tcPr>
            <w:tcW w:w="1701" w:type="dxa"/>
            <w:vMerge w:val="restart"/>
            <w:vAlign w:val="center"/>
          </w:tcPr>
          <w:p w14:paraId="2CE036DD">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第三层次</w:t>
            </w:r>
          </w:p>
        </w:tc>
        <w:tc>
          <w:tcPr>
            <w:tcW w:w="1842" w:type="dxa"/>
            <w:vAlign w:val="center"/>
          </w:tcPr>
          <w:p w14:paraId="73015AAE">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p>
        </w:tc>
        <w:tc>
          <w:tcPr>
            <w:tcW w:w="1985" w:type="dxa"/>
            <w:vAlign w:val="center"/>
          </w:tcPr>
          <w:p w14:paraId="072A6127">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30</w:t>
            </w:r>
          </w:p>
        </w:tc>
      </w:tr>
      <w:tr w14:paraId="79E81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vAlign w:val="center"/>
          </w:tcPr>
          <w:p w14:paraId="3183A989">
            <w:pPr>
              <w:spacing w:line="324" w:lineRule="auto"/>
              <w:jc w:val="center"/>
              <w:rPr>
                <w:rFonts w:hint="default" w:ascii="Times New Roman" w:hAnsi="Times New Roman" w:eastAsia="仿宋_GB2312" w:cs="Times New Roman"/>
                <w:color w:val="auto"/>
                <w:sz w:val="32"/>
                <w:szCs w:val="32"/>
                <w:highlight w:val="none"/>
              </w:rPr>
            </w:pPr>
          </w:p>
        </w:tc>
        <w:tc>
          <w:tcPr>
            <w:tcW w:w="1701" w:type="dxa"/>
            <w:vMerge w:val="continue"/>
            <w:vAlign w:val="center"/>
          </w:tcPr>
          <w:p w14:paraId="156465B9">
            <w:pPr>
              <w:spacing w:line="324" w:lineRule="auto"/>
              <w:jc w:val="center"/>
              <w:rPr>
                <w:rFonts w:hint="default" w:ascii="Times New Roman" w:hAnsi="Times New Roman" w:eastAsia="仿宋_GB2312" w:cs="Times New Roman"/>
                <w:color w:val="auto"/>
                <w:sz w:val="32"/>
                <w:szCs w:val="32"/>
                <w:highlight w:val="none"/>
              </w:rPr>
            </w:pPr>
          </w:p>
        </w:tc>
        <w:tc>
          <w:tcPr>
            <w:tcW w:w="1842" w:type="dxa"/>
            <w:vAlign w:val="center"/>
          </w:tcPr>
          <w:p w14:paraId="35CACFDE">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w:t>
            </w:r>
          </w:p>
        </w:tc>
        <w:tc>
          <w:tcPr>
            <w:tcW w:w="1985" w:type="dxa"/>
            <w:vAlign w:val="center"/>
          </w:tcPr>
          <w:p w14:paraId="7A65569A">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w:t>
            </w:r>
          </w:p>
        </w:tc>
      </w:tr>
      <w:tr w14:paraId="1299A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560" w:type="dxa"/>
            <w:vMerge w:val="continue"/>
            <w:vAlign w:val="center"/>
          </w:tcPr>
          <w:p w14:paraId="0B9702E5">
            <w:pPr>
              <w:spacing w:line="324" w:lineRule="auto"/>
              <w:jc w:val="center"/>
              <w:rPr>
                <w:rFonts w:hint="default" w:ascii="Times New Roman" w:hAnsi="Times New Roman" w:eastAsia="仿宋_GB2312" w:cs="Times New Roman"/>
                <w:color w:val="auto"/>
                <w:sz w:val="32"/>
                <w:szCs w:val="32"/>
                <w:highlight w:val="none"/>
              </w:rPr>
            </w:pPr>
          </w:p>
        </w:tc>
        <w:tc>
          <w:tcPr>
            <w:tcW w:w="1701" w:type="dxa"/>
            <w:vMerge w:val="continue"/>
            <w:vAlign w:val="center"/>
          </w:tcPr>
          <w:p w14:paraId="126896D5">
            <w:pPr>
              <w:spacing w:line="324" w:lineRule="auto"/>
              <w:jc w:val="center"/>
              <w:rPr>
                <w:rFonts w:hint="default" w:ascii="Times New Roman" w:hAnsi="Times New Roman" w:eastAsia="仿宋_GB2312" w:cs="Times New Roman"/>
                <w:color w:val="auto"/>
                <w:sz w:val="32"/>
                <w:szCs w:val="32"/>
                <w:highlight w:val="none"/>
              </w:rPr>
            </w:pPr>
          </w:p>
        </w:tc>
        <w:tc>
          <w:tcPr>
            <w:tcW w:w="1842" w:type="dxa"/>
            <w:vAlign w:val="center"/>
          </w:tcPr>
          <w:p w14:paraId="139CC675">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w:t>
            </w:r>
          </w:p>
        </w:tc>
        <w:tc>
          <w:tcPr>
            <w:tcW w:w="1985" w:type="dxa"/>
            <w:vAlign w:val="center"/>
          </w:tcPr>
          <w:p w14:paraId="277D0F7A">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10</w:t>
            </w:r>
          </w:p>
        </w:tc>
      </w:tr>
    </w:tbl>
    <w:p w14:paraId="32F01E36">
      <w:pPr>
        <w:spacing w:line="324"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硕士生申报竞赛获奖最多2项；博士生申报竞赛获奖最多3项。同一比赛的不同层次奖项不重复统计，以最高分数为准。</w:t>
      </w:r>
    </w:p>
    <w:p w14:paraId="6FF743F9">
      <w:pPr>
        <w:spacing w:line="324"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为鼓励学生参加高水平科创竞赛，就参加的科创竞赛不属于前述竞赛范围的特殊情况，特提供“特殊通道”——允许学生自主申报，由学院研究生国家奖学金评审委员会单独审议决定。</w:t>
      </w:r>
    </w:p>
    <w:p w14:paraId="765DD153">
      <w:pPr>
        <w:spacing w:line="324" w:lineRule="auto"/>
        <w:ind w:firstLine="800" w:firstLineChars="25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（3）成果获奖情况</w:t>
      </w:r>
    </w:p>
    <w:p w14:paraId="35A1FE5A">
      <w:pPr>
        <w:spacing w:line="324"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学生参加的科研成果获得省部级科技成果奖（含国防科技成果奖、军队科技成果奖和国家一级学会科技成果奖等），南京航空航天大学为第一完成单位，根据奖项和排名情况加分如下：</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1"/>
        <w:gridCol w:w="2322"/>
        <w:gridCol w:w="2322"/>
      </w:tblGrid>
      <w:tr w14:paraId="31E0F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2321" w:type="dxa"/>
          </w:tcPr>
          <w:p w14:paraId="168173F9">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获奖层次</w:t>
            </w:r>
          </w:p>
        </w:tc>
        <w:tc>
          <w:tcPr>
            <w:tcW w:w="2322" w:type="dxa"/>
          </w:tcPr>
          <w:p w14:paraId="717EE3C6">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学生中排名情况</w:t>
            </w:r>
          </w:p>
        </w:tc>
        <w:tc>
          <w:tcPr>
            <w:tcW w:w="2322" w:type="dxa"/>
          </w:tcPr>
          <w:p w14:paraId="335EF3D8">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认定分数</w:t>
            </w:r>
          </w:p>
        </w:tc>
      </w:tr>
      <w:tr w14:paraId="0EA4D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vMerge w:val="restart"/>
            <w:vAlign w:val="center"/>
          </w:tcPr>
          <w:p w14:paraId="52680FB9">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第一层次</w:t>
            </w:r>
          </w:p>
          <w:p w14:paraId="2FE173BC">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（排名前十）</w:t>
            </w:r>
          </w:p>
        </w:tc>
        <w:tc>
          <w:tcPr>
            <w:tcW w:w="2322" w:type="dxa"/>
            <w:vAlign w:val="center"/>
          </w:tcPr>
          <w:p w14:paraId="1E1C177F">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p>
        </w:tc>
        <w:tc>
          <w:tcPr>
            <w:tcW w:w="2322" w:type="dxa"/>
            <w:vAlign w:val="center"/>
          </w:tcPr>
          <w:p w14:paraId="13642D69">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100</w:t>
            </w:r>
          </w:p>
        </w:tc>
      </w:tr>
      <w:tr w14:paraId="150F8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vMerge w:val="continue"/>
            <w:vAlign w:val="center"/>
          </w:tcPr>
          <w:p w14:paraId="17A58C1E">
            <w:pPr>
              <w:spacing w:line="324" w:lineRule="auto"/>
              <w:jc w:val="center"/>
              <w:rPr>
                <w:rFonts w:hint="default" w:ascii="Times New Roman" w:hAnsi="Times New Roman" w:eastAsia="仿宋_GB2312" w:cs="Times New Roman"/>
                <w:color w:val="auto"/>
                <w:sz w:val="32"/>
                <w:szCs w:val="32"/>
                <w:highlight w:val="none"/>
              </w:rPr>
            </w:pPr>
          </w:p>
        </w:tc>
        <w:tc>
          <w:tcPr>
            <w:tcW w:w="2322" w:type="dxa"/>
            <w:vAlign w:val="center"/>
          </w:tcPr>
          <w:p w14:paraId="39913342">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w:t>
            </w:r>
          </w:p>
        </w:tc>
        <w:tc>
          <w:tcPr>
            <w:tcW w:w="2322" w:type="dxa"/>
            <w:vAlign w:val="center"/>
          </w:tcPr>
          <w:p w14:paraId="3DFC5B7B">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80</w:t>
            </w:r>
          </w:p>
        </w:tc>
      </w:tr>
      <w:tr w14:paraId="5152E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vMerge w:val="continue"/>
            <w:vAlign w:val="center"/>
          </w:tcPr>
          <w:p w14:paraId="4FA637C4">
            <w:pPr>
              <w:spacing w:line="324" w:lineRule="auto"/>
              <w:jc w:val="center"/>
              <w:rPr>
                <w:rFonts w:hint="default" w:ascii="Times New Roman" w:hAnsi="Times New Roman" w:eastAsia="仿宋_GB2312" w:cs="Times New Roman"/>
                <w:color w:val="auto"/>
                <w:sz w:val="32"/>
                <w:szCs w:val="32"/>
                <w:highlight w:val="none"/>
              </w:rPr>
            </w:pPr>
          </w:p>
        </w:tc>
        <w:tc>
          <w:tcPr>
            <w:tcW w:w="2322" w:type="dxa"/>
            <w:vAlign w:val="center"/>
          </w:tcPr>
          <w:p w14:paraId="7C1B7E7C">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w:t>
            </w:r>
          </w:p>
        </w:tc>
        <w:tc>
          <w:tcPr>
            <w:tcW w:w="2322" w:type="dxa"/>
            <w:vAlign w:val="center"/>
          </w:tcPr>
          <w:p w14:paraId="57E13441">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60</w:t>
            </w:r>
          </w:p>
        </w:tc>
      </w:tr>
      <w:tr w14:paraId="73A3B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vMerge w:val="restart"/>
            <w:vAlign w:val="center"/>
          </w:tcPr>
          <w:p w14:paraId="5C298220">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第二层次</w:t>
            </w:r>
          </w:p>
          <w:p w14:paraId="0D6C6C55">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（排名前八）</w:t>
            </w:r>
          </w:p>
        </w:tc>
        <w:tc>
          <w:tcPr>
            <w:tcW w:w="2322" w:type="dxa"/>
            <w:vAlign w:val="center"/>
          </w:tcPr>
          <w:p w14:paraId="679FB5A9">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p>
        </w:tc>
        <w:tc>
          <w:tcPr>
            <w:tcW w:w="2322" w:type="dxa"/>
            <w:vAlign w:val="center"/>
          </w:tcPr>
          <w:p w14:paraId="563FAAD6">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80</w:t>
            </w:r>
          </w:p>
        </w:tc>
      </w:tr>
      <w:tr w14:paraId="7B5E1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vMerge w:val="continue"/>
            <w:vAlign w:val="center"/>
          </w:tcPr>
          <w:p w14:paraId="43E331F9">
            <w:pPr>
              <w:spacing w:line="324" w:lineRule="auto"/>
              <w:jc w:val="center"/>
              <w:rPr>
                <w:rFonts w:hint="default" w:ascii="Times New Roman" w:hAnsi="Times New Roman" w:eastAsia="仿宋_GB2312" w:cs="Times New Roman"/>
                <w:color w:val="auto"/>
                <w:sz w:val="32"/>
                <w:szCs w:val="32"/>
                <w:highlight w:val="none"/>
              </w:rPr>
            </w:pPr>
          </w:p>
        </w:tc>
        <w:tc>
          <w:tcPr>
            <w:tcW w:w="2322" w:type="dxa"/>
            <w:vAlign w:val="center"/>
          </w:tcPr>
          <w:p w14:paraId="4EC08AFE">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w:t>
            </w:r>
          </w:p>
        </w:tc>
        <w:tc>
          <w:tcPr>
            <w:tcW w:w="2322" w:type="dxa"/>
            <w:vAlign w:val="center"/>
          </w:tcPr>
          <w:p w14:paraId="36C51FD9">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60</w:t>
            </w:r>
          </w:p>
        </w:tc>
      </w:tr>
      <w:tr w14:paraId="53F51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vMerge w:val="continue"/>
            <w:vAlign w:val="center"/>
          </w:tcPr>
          <w:p w14:paraId="0CCE5468">
            <w:pPr>
              <w:spacing w:line="324" w:lineRule="auto"/>
              <w:jc w:val="center"/>
              <w:rPr>
                <w:rFonts w:hint="default" w:ascii="Times New Roman" w:hAnsi="Times New Roman" w:eastAsia="仿宋_GB2312" w:cs="Times New Roman"/>
                <w:color w:val="auto"/>
                <w:sz w:val="32"/>
                <w:szCs w:val="32"/>
                <w:highlight w:val="none"/>
              </w:rPr>
            </w:pPr>
          </w:p>
        </w:tc>
        <w:tc>
          <w:tcPr>
            <w:tcW w:w="2322" w:type="dxa"/>
            <w:vAlign w:val="center"/>
          </w:tcPr>
          <w:p w14:paraId="2DDDA5A8">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w:t>
            </w:r>
          </w:p>
        </w:tc>
        <w:tc>
          <w:tcPr>
            <w:tcW w:w="2322" w:type="dxa"/>
            <w:vAlign w:val="center"/>
          </w:tcPr>
          <w:p w14:paraId="0BFF7C77">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40</w:t>
            </w:r>
          </w:p>
        </w:tc>
      </w:tr>
      <w:tr w14:paraId="0BBD7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vMerge w:val="restart"/>
            <w:vAlign w:val="center"/>
          </w:tcPr>
          <w:p w14:paraId="51B55D4E">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第三层次</w:t>
            </w:r>
          </w:p>
          <w:p w14:paraId="3EAD0A14">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（排名前六）</w:t>
            </w:r>
          </w:p>
        </w:tc>
        <w:tc>
          <w:tcPr>
            <w:tcW w:w="2322" w:type="dxa"/>
            <w:vAlign w:val="center"/>
          </w:tcPr>
          <w:p w14:paraId="2569480B">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p>
        </w:tc>
        <w:tc>
          <w:tcPr>
            <w:tcW w:w="2322" w:type="dxa"/>
            <w:vAlign w:val="center"/>
          </w:tcPr>
          <w:p w14:paraId="590EE3C1">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60</w:t>
            </w:r>
          </w:p>
        </w:tc>
      </w:tr>
      <w:tr w14:paraId="6547D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vMerge w:val="continue"/>
            <w:vAlign w:val="center"/>
          </w:tcPr>
          <w:p w14:paraId="333C0BA1">
            <w:pPr>
              <w:spacing w:line="324" w:lineRule="auto"/>
              <w:jc w:val="center"/>
              <w:rPr>
                <w:rFonts w:hint="default" w:ascii="Times New Roman" w:hAnsi="Times New Roman" w:eastAsia="仿宋_GB2312" w:cs="Times New Roman"/>
                <w:color w:val="auto"/>
                <w:sz w:val="32"/>
                <w:szCs w:val="32"/>
                <w:highlight w:val="none"/>
              </w:rPr>
            </w:pPr>
          </w:p>
        </w:tc>
        <w:tc>
          <w:tcPr>
            <w:tcW w:w="2322" w:type="dxa"/>
            <w:vAlign w:val="center"/>
          </w:tcPr>
          <w:p w14:paraId="2158F2CE">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w:t>
            </w:r>
          </w:p>
        </w:tc>
        <w:tc>
          <w:tcPr>
            <w:tcW w:w="2322" w:type="dxa"/>
            <w:vAlign w:val="center"/>
          </w:tcPr>
          <w:p w14:paraId="730F1407">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40</w:t>
            </w:r>
          </w:p>
        </w:tc>
      </w:tr>
      <w:tr w14:paraId="0AFB1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vMerge w:val="continue"/>
            <w:vAlign w:val="center"/>
          </w:tcPr>
          <w:p w14:paraId="50E25459">
            <w:pPr>
              <w:spacing w:line="324" w:lineRule="auto"/>
              <w:jc w:val="center"/>
              <w:rPr>
                <w:rFonts w:hint="default" w:ascii="Times New Roman" w:hAnsi="Times New Roman" w:eastAsia="仿宋_GB2312" w:cs="Times New Roman"/>
                <w:color w:val="auto"/>
                <w:sz w:val="32"/>
                <w:szCs w:val="32"/>
                <w:highlight w:val="none"/>
              </w:rPr>
            </w:pPr>
          </w:p>
        </w:tc>
        <w:tc>
          <w:tcPr>
            <w:tcW w:w="2322" w:type="dxa"/>
            <w:vAlign w:val="center"/>
          </w:tcPr>
          <w:p w14:paraId="306B8800">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w:t>
            </w:r>
          </w:p>
        </w:tc>
        <w:tc>
          <w:tcPr>
            <w:tcW w:w="2322" w:type="dxa"/>
            <w:vAlign w:val="center"/>
          </w:tcPr>
          <w:p w14:paraId="11E37491">
            <w:pPr>
              <w:spacing w:line="324" w:lineRule="auto"/>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w:t>
            </w:r>
          </w:p>
        </w:tc>
      </w:tr>
    </w:tbl>
    <w:p w14:paraId="24A44715">
      <w:pPr>
        <w:spacing w:line="324" w:lineRule="auto"/>
        <w:ind w:firstLine="800" w:firstLineChars="25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（4）学术著作</w:t>
      </w:r>
    </w:p>
    <w:p w14:paraId="5FCD4F01">
      <w:pPr>
        <w:spacing w:line="324"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学术专著只统计申请人专著封面作者署名前三位的著作，第一作者以每部100分计，第二作者以每部80分计，第三作者以每部50分计。</w:t>
      </w:r>
    </w:p>
    <w:p w14:paraId="10A91FAF">
      <w:pPr>
        <w:spacing w:line="324" w:lineRule="auto"/>
        <w:ind w:firstLine="800" w:firstLineChars="25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（5）科研项目</w:t>
      </w:r>
    </w:p>
    <w:p w14:paraId="46ADD63A">
      <w:pPr>
        <w:spacing w:line="324"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学生作为主持人申报成功的省级研究生科研项目，以每项50分计；申报成功的校级研究生科研项目</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创新实验竞赛培育项目不计算</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，以每项30分计。硕士生申报的研究生科研项目最多2项，博士生申报的研究生科研项目最多3项。</w:t>
      </w:r>
    </w:p>
    <w:p w14:paraId="2A70656B">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综合表现</w:t>
      </w:r>
      <w:r>
        <w:rPr>
          <w:rFonts w:hint="eastAsia" w:eastAsia="仿宋_GB2312" w:cs="Times New Roman"/>
          <w:sz w:val="32"/>
          <w:szCs w:val="32"/>
          <w:lang w:val="en-US" w:eastAsia="zh-CN"/>
        </w:rPr>
        <w:t>附加</w:t>
      </w:r>
      <w:r>
        <w:rPr>
          <w:rFonts w:hint="default" w:ascii="Times New Roman" w:hAnsi="Times New Roman" w:eastAsia="仿宋_GB2312" w:cs="Times New Roman"/>
          <w:sz w:val="32"/>
          <w:szCs w:val="32"/>
        </w:rPr>
        <w:t>分</w:t>
      </w:r>
    </w:p>
    <w:p w14:paraId="13CAD29A">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eastAsia="仿宋_GB2312" w:cs="Times New Roman"/>
          <w:sz w:val="32"/>
          <w:szCs w:val="32"/>
          <w:lang w:val="en-US" w:eastAsia="zh-CN"/>
        </w:rPr>
      </w:pPr>
      <w:r>
        <w:rPr>
          <w:rFonts w:hint="eastAsia" w:eastAsia="仿宋_GB2312" w:cs="Times New Roman"/>
          <w:sz w:val="32"/>
          <w:szCs w:val="32"/>
          <w:lang w:val="en-US" w:eastAsia="zh-CN"/>
        </w:rPr>
        <w:t>申报人</w:t>
      </w:r>
      <w:r>
        <w:rPr>
          <w:rFonts w:hint="default" w:ascii="Times New Roman" w:hAnsi="Times New Roman" w:eastAsia="仿宋_GB2312" w:cs="Times New Roman"/>
          <w:sz w:val="32"/>
          <w:szCs w:val="32"/>
        </w:rPr>
        <w:t>条目式写明学制内其他时间的科研成果、参与研究生科技竞赛、参加学术会议获奖、开展研究生社会实践、担任研究生骨干等</w:t>
      </w:r>
      <w:r>
        <w:rPr>
          <w:rFonts w:hint="eastAsia" w:eastAsia="仿宋_GB2312" w:cs="Times New Roman"/>
          <w:sz w:val="32"/>
          <w:szCs w:val="32"/>
          <w:lang w:eastAsia="zh-CN"/>
        </w:rPr>
        <w:t>，</w:t>
      </w:r>
      <w:r>
        <w:rPr>
          <w:rFonts w:hint="eastAsia" w:eastAsia="仿宋_GB2312" w:cs="Times New Roman"/>
          <w:sz w:val="32"/>
          <w:szCs w:val="32"/>
          <w:lang w:val="en-US" w:eastAsia="zh-CN"/>
        </w:rPr>
        <w:t>并提供证明材料。</w:t>
      </w:r>
    </w:p>
    <w:p w14:paraId="023C12CF">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总分</w:t>
      </w:r>
      <w:r>
        <w:rPr>
          <w:rFonts w:hint="eastAsia" w:eastAsia="仿宋_GB2312" w:cs="Times New Roman"/>
          <w:sz w:val="32"/>
          <w:szCs w:val="32"/>
          <w:lang w:val="en-US" w:eastAsia="zh-CN"/>
        </w:rPr>
        <w:t>排序</w:t>
      </w:r>
      <w:bookmarkStart w:id="0" w:name="_GoBack"/>
      <w:bookmarkEnd w:id="0"/>
      <w:r>
        <w:rPr>
          <w:rFonts w:hint="default" w:ascii="Times New Roman" w:hAnsi="Times New Roman" w:eastAsia="仿宋_GB2312" w:cs="Times New Roman"/>
          <w:sz w:val="32"/>
          <w:szCs w:val="32"/>
        </w:rPr>
        <w:t>计算方法</w:t>
      </w:r>
    </w:p>
    <w:p w14:paraId="7730B856">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eastAsia="仿宋_GB2312" w:cs="Times New Roman"/>
          <w:sz w:val="32"/>
          <w:szCs w:val="32"/>
          <w:lang w:val="en-US" w:eastAsia="zh-CN"/>
        </w:rPr>
      </w:pPr>
      <w:r>
        <w:rPr>
          <w:rFonts w:hint="eastAsia" w:eastAsia="仿宋_GB2312" w:cs="Times New Roman"/>
          <w:sz w:val="32"/>
          <w:szCs w:val="32"/>
          <w:lang w:val="en-US" w:eastAsia="zh-CN"/>
        </w:rPr>
        <w:t>首先按照</w:t>
      </w:r>
      <w:r>
        <w:rPr>
          <w:rFonts w:hint="default" w:ascii="Times New Roman" w:hAnsi="Times New Roman" w:eastAsia="仿宋_GB2312" w:cs="Times New Roman"/>
          <w:sz w:val="32"/>
          <w:szCs w:val="32"/>
        </w:rPr>
        <w:t>“个人科研成果评分”</w:t>
      </w:r>
      <w:r>
        <w:rPr>
          <w:rFonts w:hint="eastAsia" w:eastAsia="仿宋_GB2312" w:cs="Times New Roman"/>
          <w:sz w:val="32"/>
          <w:szCs w:val="32"/>
          <w:lang w:val="en-US" w:eastAsia="zh-CN"/>
        </w:rPr>
        <w:t>排序，若出现同分，则参考学制内所有时间段的科研成果得分排序。</w:t>
      </w:r>
    </w:p>
    <w:p w14:paraId="56AC4CB3">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若2023年9月1日-2024年8月31日间科研成果得分、学制内所有时间段的科研成果得分均相同者，则担任学生干部者、德智体美劳各方面有突出表现者优先</w:t>
      </w:r>
      <w:r>
        <w:rPr>
          <w:rFonts w:hint="default" w:ascii="Times New Roman" w:hAnsi="Times New Roman" w:eastAsia="仿宋_GB2312" w:cs="Times New Roman"/>
          <w:sz w:val="32"/>
          <w:szCs w:val="32"/>
        </w:rPr>
        <w:t>。</w:t>
      </w:r>
    </w:p>
    <w:p w14:paraId="7FC8A0CE">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六、</w:t>
      </w:r>
      <w:r>
        <w:rPr>
          <w:rFonts w:hint="default" w:ascii="黑体" w:hAnsi="黑体" w:eastAsia="黑体" w:cs="黑体"/>
          <w:sz w:val="32"/>
          <w:szCs w:val="32"/>
          <w:lang w:val="en-US" w:eastAsia="zh-CN"/>
        </w:rPr>
        <w:t>评审流程</w:t>
      </w:r>
    </w:p>
    <w:p w14:paraId="2A3F29CA">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w:t>
      </w:r>
      <w:r>
        <w:rPr>
          <w:rFonts w:hint="eastAsia"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202</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年10月</w:t>
      </w:r>
      <w:r>
        <w:rPr>
          <w:rFonts w:hint="eastAsia" w:eastAsia="仿宋_GB2312" w:cs="Times New Roman"/>
          <w:sz w:val="32"/>
          <w:szCs w:val="32"/>
          <w:lang w:val="en-US" w:eastAsia="zh-CN"/>
        </w:rPr>
        <w:t>31</w:t>
      </w:r>
      <w:r>
        <w:rPr>
          <w:rFonts w:hint="default" w:ascii="Times New Roman" w:hAnsi="Times New Roman" w:eastAsia="仿宋_GB2312" w:cs="Times New Roman"/>
          <w:sz w:val="32"/>
          <w:szCs w:val="32"/>
          <w:lang w:val="en-US" w:eastAsia="zh-CN"/>
        </w:rPr>
        <w:t>日前，发布通知和学院评审办法；</w:t>
      </w:r>
    </w:p>
    <w:p w14:paraId="12D3CEC9">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w:t>
      </w:r>
      <w:r>
        <w:rPr>
          <w:rFonts w:hint="eastAsia"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2024年</w:t>
      </w:r>
      <w:r>
        <w:rPr>
          <w:rFonts w:hint="eastAsia" w:eastAsia="仿宋_GB2312" w:cs="Times New Roman"/>
          <w:sz w:val="32"/>
          <w:szCs w:val="32"/>
          <w:lang w:val="en-US" w:eastAsia="zh-CN"/>
        </w:rPr>
        <w:t>11</w:t>
      </w:r>
      <w:r>
        <w:rPr>
          <w:rFonts w:hint="default" w:ascii="Times New Roman" w:hAnsi="Times New Roman" w:eastAsia="仿宋_GB2312" w:cs="Times New Roman"/>
          <w:sz w:val="32"/>
          <w:szCs w:val="32"/>
          <w:lang w:val="en-US" w:eastAsia="zh-CN"/>
        </w:rPr>
        <w:t>月</w:t>
      </w:r>
      <w:r>
        <w:rPr>
          <w:rFonts w:hint="eastAsia"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日</w:t>
      </w:r>
      <w:r>
        <w:rPr>
          <w:rFonts w:hint="eastAsia" w:eastAsia="仿宋_GB2312" w:cs="Times New Roman"/>
          <w:sz w:val="32"/>
          <w:szCs w:val="32"/>
          <w:lang w:val="en-US" w:eastAsia="zh-CN"/>
        </w:rPr>
        <w:t>17</w:t>
      </w:r>
      <w:r>
        <w:rPr>
          <w:rFonts w:hint="default" w:ascii="Times New Roman" w:hAnsi="Times New Roman" w:eastAsia="仿宋_GB2312" w:cs="Times New Roman"/>
          <w:sz w:val="32"/>
          <w:szCs w:val="32"/>
          <w:lang w:val="en-US" w:eastAsia="zh-CN"/>
        </w:rPr>
        <w:t>点前，申报人按照要求上报材料（附件3特别奖学金申报表及支撑材料</w:t>
      </w:r>
      <w:r>
        <w:rPr>
          <w:rFonts w:hint="eastAsia" w:eastAsia="仿宋_GB2312" w:cs="Times New Roman"/>
          <w:sz w:val="32"/>
          <w:szCs w:val="32"/>
          <w:lang w:val="en-US" w:eastAsia="zh-CN"/>
        </w:rPr>
        <w:t>、附件4特别奖学金获奖学生汇总表、附件5特别奖学金申请志愿顺序表</w:t>
      </w:r>
      <w:r>
        <w:rPr>
          <w:rFonts w:hint="default" w:ascii="Times New Roman" w:hAnsi="Times New Roman" w:eastAsia="仿宋_GB2312" w:cs="Times New Roman"/>
          <w:sz w:val="32"/>
          <w:szCs w:val="32"/>
          <w:lang w:val="en-US" w:eastAsia="zh-CN"/>
        </w:rPr>
        <w:t>）纸质版、电子版；所有材料按时提交，无论何原因，逾期不予受理。电子版发至649314295@qq.com，纸质版于</w:t>
      </w:r>
      <w:r>
        <w:rPr>
          <w:rFonts w:hint="eastAsia" w:eastAsia="仿宋_GB2312" w:cs="Times New Roman"/>
          <w:sz w:val="32"/>
          <w:szCs w:val="32"/>
          <w:lang w:val="en-US" w:eastAsia="zh-CN"/>
        </w:rPr>
        <w:t>11</w:t>
      </w:r>
      <w:r>
        <w:rPr>
          <w:rFonts w:hint="default" w:ascii="Times New Roman" w:hAnsi="Times New Roman" w:eastAsia="仿宋_GB2312" w:cs="Times New Roman"/>
          <w:sz w:val="32"/>
          <w:szCs w:val="32"/>
          <w:lang w:val="en-US" w:eastAsia="zh-CN"/>
        </w:rPr>
        <w:t>月</w:t>
      </w:r>
      <w:r>
        <w:rPr>
          <w:rFonts w:hint="eastAsia"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日下午2-5点交至东区材料楼B321办公室</w:t>
      </w:r>
      <w:r>
        <w:rPr>
          <w:rFonts w:hint="eastAsia" w:eastAsia="仿宋_GB2312" w:cs="Times New Roman"/>
          <w:sz w:val="32"/>
          <w:szCs w:val="32"/>
          <w:lang w:val="en-US" w:eastAsia="zh-CN"/>
        </w:rPr>
        <w:t>。</w:t>
      </w:r>
    </w:p>
    <w:p w14:paraId="7BA1EF83">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default" w:eastAsia="仿宋_GB2312" w:cs="Times New Roman"/>
          <w:sz w:val="32"/>
          <w:szCs w:val="32"/>
          <w:lang w:val="en-US" w:eastAsia="zh-CN"/>
        </w:rPr>
      </w:pPr>
      <w:r>
        <w:rPr>
          <w:rFonts w:hint="eastAsia" w:eastAsia="仿宋_GB2312" w:cs="Times New Roman"/>
          <w:sz w:val="32"/>
          <w:szCs w:val="32"/>
          <w:lang w:val="en-US" w:eastAsia="zh-CN"/>
        </w:rPr>
        <w:t>3. 2024年11月4日17点前，</w:t>
      </w:r>
      <w:r>
        <w:rPr>
          <w:rFonts w:hint="default" w:ascii="Times New Roman" w:hAnsi="Times New Roman" w:eastAsia="仿宋_GB2312" w:cs="Times New Roman"/>
          <w:sz w:val="32"/>
          <w:szCs w:val="32"/>
          <w:lang w:val="en-US" w:eastAsia="zh-CN"/>
        </w:rPr>
        <w:t>申报人</w:t>
      </w:r>
      <w:r>
        <w:rPr>
          <w:rFonts w:hint="eastAsia" w:eastAsia="仿宋_GB2312" w:cs="Times New Roman"/>
          <w:sz w:val="32"/>
          <w:szCs w:val="32"/>
          <w:lang w:val="en-US" w:eastAsia="zh-CN"/>
        </w:rPr>
        <w:t>需要同步登录研究生信息管理系统，在科研管理中录入个人各类学术成果、荣誉称号并按要求上传佐证材料，经审核通过后，在“研工管理”菜单下的“奖学金申请”中按类别填写申请，并提交导师审核。</w:t>
      </w:r>
    </w:p>
    <w:p w14:paraId="6DC3D2E7">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 xml:space="preserve">3. </w:t>
      </w:r>
      <w:r>
        <w:rPr>
          <w:rFonts w:hint="default" w:ascii="Times New Roman" w:hAnsi="Times New Roman" w:eastAsia="仿宋_GB2312" w:cs="Times New Roman"/>
          <w:sz w:val="32"/>
          <w:szCs w:val="32"/>
          <w:lang w:val="en-US" w:eastAsia="zh-CN"/>
        </w:rPr>
        <w:t>202</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w:t>
      </w:r>
      <w:r>
        <w:rPr>
          <w:rFonts w:hint="eastAsia" w:eastAsia="仿宋_GB2312" w:cs="Times New Roman"/>
          <w:sz w:val="32"/>
          <w:szCs w:val="32"/>
          <w:lang w:val="en-US" w:eastAsia="zh-CN"/>
        </w:rPr>
        <w:t>11</w:t>
      </w:r>
      <w:r>
        <w:rPr>
          <w:rFonts w:hint="default" w:ascii="Times New Roman" w:hAnsi="Times New Roman" w:eastAsia="仿宋_GB2312" w:cs="Times New Roman"/>
          <w:sz w:val="32"/>
          <w:szCs w:val="32"/>
          <w:lang w:val="en-US" w:eastAsia="zh-CN"/>
        </w:rPr>
        <w:t>月</w:t>
      </w:r>
      <w:r>
        <w:rPr>
          <w:rFonts w:hint="eastAsia"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日前，完成学院评审和公示并上报研究生院。</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4686B">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3F5E64">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E3F5E64">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2A7E50"/>
    <w:multiLevelType w:val="singleLevel"/>
    <w:tmpl w:val="302A7E5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1MWY0ZTg0MDgyN2FlMDNiOTEyNWQwMTcyMjgwMTYifQ=="/>
  </w:docVars>
  <w:rsids>
    <w:rsidRoot w:val="41694177"/>
    <w:rsid w:val="00410355"/>
    <w:rsid w:val="006122BD"/>
    <w:rsid w:val="007C1784"/>
    <w:rsid w:val="00A97DDD"/>
    <w:rsid w:val="00FC08F3"/>
    <w:rsid w:val="01E269B9"/>
    <w:rsid w:val="057523EE"/>
    <w:rsid w:val="09B21785"/>
    <w:rsid w:val="0AF3628F"/>
    <w:rsid w:val="0B3152CE"/>
    <w:rsid w:val="0FBF0E36"/>
    <w:rsid w:val="104B4477"/>
    <w:rsid w:val="108D2CE2"/>
    <w:rsid w:val="110765F0"/>
    <w:rsid w:val="1201373F"/>
    <w:rsid w:val="121216F1"/>
    <w:rsid w:val="13AF2F6F"/>
    <w:rsid w:val="13C24A51"/>
    <w:rsid w:val="175E75E4"/>
    <w:rsid w:val="197D043E"/>
    <w:rsid w:val="1BDF6E5B"/>
    <w:rsid w:val="1E0C5F91"/>
    <w:rsid w:val="1E3B5B2B"/>
    <w:rsid w:val="20360895"/>
    <w:rsid w:val="22BE4F7D"/>
    <w:rsid w:val="23563407"/>
    <w:rsid w:val="2A9A1E2C"/>
    <w:rsid w:val="2E3E5CB9"/>
    <w:rsid w:val="2F0565A2"/>
    <w:rsid w:val="2F923A19"/>
    <w:rsid w:val="32F40559"/>
    <w:rsid w:val="36050AA1"/>
    <w:rsid w:val="39AF777A"/>
    <w:rsid w:val="3C0D6901"/>
    <w:rsid w:val="41694177"/>
    <w:rsid w:val="41DD28D2"/>
    <w:rsid w:val="4484797D"/>
    <w:rsid w:val="4B6B71A0"/>
    <w:rsid w:val="4D5C1497"/>
    <w:rsid w:val="50597F0F"/>
    <w:rsid w:val="5299285F"/>
    <w:rsid w:val="59D3726C"/>
    <w:rsid w:val="5D0439B8"/>
    <w:rsid w:val="5D694A0F"/>
    <w:rsid w:val="635A392B"/>
    <w:rsid w:val="65883C7A"/>
    <w:rsid w:val="6D2F407A"/>
    <w:rsid w:val="6DFE57FA"/>
    <w:rsid w:val="709B5C81"/>
    <w:rsid w:val="70E64A50"/>
    <w:rsid w:val="724265FE"/>
    <w:rsid w:val="73B40E35"/>
    <w:rsid w:val="75104791"/>
    <w:rsid w:val="78682280"/>
    <w:rsid w:val="7B9F061D"/>
    <w:rsid w:val="7C3C2310"/>
    <w:rsid w:val="7EA276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2706</Words>
  <Characters>2947</Characters>
  <Lines>14</Lines>
  <Paragraphs>4</Paragraphs>
  <TotalTime>0</TotalTime>
  <ScaleCrop>false</ScaleCrop>
  <LinksUpToDate>false</LinksUpToDate>
  <CharactersWithSpaces>2965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2023-09-26T12:27:00Z</dcterms:created>
  <dc:creator>yq</dc:creator>
  <cp:lastModifiedBy>Vicky.</cp:lastModifiedBy>
  <dcterms:modified xsi:type="dcterms:W3CDTF">2024-10-31T10:05:23Z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0E894695BD4D4A45848744D2CE5D0342_11</vt:lpwstr>
  </property>
</Properties>
</file>