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721" w:rsidRDefault="005A2301">
      <w:pPr>
        <w:pStyle w:val="Subtitle"/>
        <w:spacing w:before="0" w:after="0" w:line="240" w:lineRule="auto"/>
        <w:rPr>
          <w:rFonts w:ascii="STZhongsong" w:eastAsia="STZhongsong" w:hAnsi="STZhongsong"/>
          <w:b w:val="0"/>
          <w:sz w:val="30"/>
          <w:szCs w:val="30"/>
        </w:rPr>
      </w:pPr>
      <w:r w:rsidRPr="005A2301">
        <w:rPr>
          <w:rFonts w:ascii="STZhongsong" w:eastAsia="STZhongsong" w:hAnsi="STZhongsong" w:hint="eastAsia"/>
        </w:rPr>
        <w:t>自由探索计划“天目启航”专项</w:t>
      </w:r>
      <w:r w:rsidR="00BF1A47">
        <w:rPr>
          <w:rFonts w:ascii="STZhongsong" w:eastAsia="STZhongsong" w:hAnsi="STZhongsong" w:hint="eastAsia"/>
        </w:rPr>
        <w:t>项目</w:t>
      </w:r>
      <w:r>
        <w:rPr>
          <w:rFonts w:ascii="STZhongsong" w:eastAsia="STZhongsong" w:hAnsi="STZhongsong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奚揆天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594B3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15298356181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hyperlink r:id="rId8" w:history="1">
              <w:r>
                <w:rPr>
                  <w:rStyle w:val="Hyperlink"/>
                  <w:rFonts w:hint="eastAsia"/>
                  <w:b/>
                </w:rPr>
                <w:t>xiphys@nuaa.edu.cn</w:t>
              </w:r>
            </w:hyperlink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超冷量子物理</w:t>
            </w:r>
            <w:r w:rsidR="00170862">
              <w:rPr>
                <w:rFonts w:hint="eastAsia"/>
                <w:b/>
              </w:rPr>
              <w:t>与人工智能</w:t>
            </w:r>
          </w:p>
        </w:tc>
      </w:tr>
      <w:tr w:rsidR="00800721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Default="00806F4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利用机器学习预测</w:t>
            </w:r>
            <w:r w:rsidR="00F842BA" w:rsidRPr="00F842BA">
              <w:rPr>
                <w:rFonts w:hint="eastAsia"/>
                <w:b/>
              </w:rPr>
              <w:t>量子隧穿效应的透射概率</w:t>
            </w:r>
          </w:p>
        </w:tc>
      </w:tr>
      <w:tr w:rsidR="00800721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0E7D6D" w:rsidRDefault="00F842BA" w:rsidP="000E7D6D">
            <w:p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运用人工</w:t>
            </w:r>
            <w:r w:rsidRPr="00F842BA">
              <w:rPr>
                <w:rFonts w:hint="eastAsia"/>
                <w:bCs/>
              </w:rPr>
              <w:t>神经网络预测粒子在不同势垒高度和宽度下的量子隧穿透射概率</w:t>
            </w:r>
            <w:r>
              <w:rPr>
                <w:rFonts w:hint="eastAsia"/>
                <w:bCs/>
              </w:rPr>
              <w:t>，</w:t>
            </w:r>
            <w:r w:rsidRPr="00F842BA">
              <w:rPr>
                <w:rFonts w:hint="eastAsia"/>
                <w:bCs/>
              </w:rPr>
              <w:t>理解量子隧穿的概念，学习如何使用</w:t>
            </w:r>
            <w:r>
              <w:rPr>
                <w:rFonts w:hint="eastAsia"/>
                <w:bCs/>
              </w:rPr>
              <w:t>人工</w:t>
            </w:r>
            <w:r w:rsidRPr="00F842BA">
              <w:rPr>
                <w:rFonts w:hint="eastAsia"/>
                <w:bCs/>
              </w:rPr>
              <w:t>神经网络来拟合与物理量（如透射概率）相关的复杂函数。</w:t>
            </w:r>
          </w:p>
          <w:p w:rsidR="00F842BA" w:rsidRDefault="00F842BA" w:rsidP="000E7D6D">
            <w:p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项目步骤：</w:t>
            </w:r>
          </w:p>
          <w:p w:rsidR="00F842BA" w:rsidRDefault="00F842BA" w:rsidP="00F842BA">
            <w:pPr>
              <w:numPr>
                <w:ilvl w:val="0"/>
                <w:numId w:val="2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F842BA">
              <w:rPr>
                <w:rFonts w:hint="eastAsia"/>
                <w:bCs/>
              </w:rPr>
              <w:t>了解量子隧穿效应的基本原理和透射概率的定义</w:t>
            </w:r>
            <w:r>
              <w:rPr>
                <w:rFonts w:hint="eastAsia"/>
                <w:bCs/>
              </w:rPr>
              <w:t>；</w:t>
            </w:r>
          </w:p>
          <w:p w:rsidR="00F842BA" w:rsidRDefault="00F842BA" w:rsidP="00F842BA">
            <w:pPr>
              <w:numPr>
                <w:ilvl w:val="0"/>
                <w:numId w:val="2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使用透射概率公式，在不同的</w:t>
            </w:r>
            <w:r w:rsidRPr="00F842BA">
              <w:rPr>
                <w:rFonts w:hint="eastAsia"/>
                <w:bCs/>
              </w:rPr>
              <w:t>势垒高度、势垒宽度、粒子能量等参数下生成大量透射概率数据，作为训练集和测试集</w:t>
            </w:r>
            <w:r>
              <w:rPr>
                <w:rFonts w:hint="eastAsia"/>
                <w:bCs/>
              </w:rPr>
              <w:t>；</w:t>
            </w:r>
          </w:p>
          <w:p w:rsidR="00F842BA" w:rsidRDefault="00F842BA" w:rsidP="00F842BA">
            <w:pPr>
              <w:numPr>
                <w:ilvl w:val="0"/>
                <w:numId w:val="2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F842BA">
              <w:rPr>
                <w:rFonts w:hint="eastAsia"/>
                <w:bCs/>
              </w:rPr>
              <w:t>设计一个前馈神经网络，输入为势垒高度、势垒宽度、以及粒子能量，输出为透射概率</w:t>
            </w:r>
            <w:r>
              <w:rPr>
                <w:rFonts w:hint="eastAsia"/>
                <w:bCs/>
              </w:rPr>
              <w:t>；</w:t>
            </w:r>
          </w:p>
          <w:p w:rsidR="00F842BA" w:rsidRPr="00F842BA" w:rsidRDefault="00F842BA" w:rsidP="00F842BA">
            <w:pPr>
              <w:numPr>
                <w:ilvl w:val="0"/>
                <w:numId w:val="2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F842BA">
              <w:rPr>
                <w:rFonts w:hint="eastAsia"/>
                <w:bCs/>
              </w:rPr>
              <w:t>使用均方误差作为损失函数，训练</w:t>
            </w:r>
            <w:r>
              <w:rPr>
                <w:rFonts w:hint="eastAsia"/>
                <w:bCs/>
              </w:rPr>
              <w:t>人工</w:t>
            </w:r>
            <w:r w:rsidRPr="00F842BA">
              <w:rPr>
                <w:rFonts w:hint="eastAsia"/>
                <w:bCs/>
              </w:rPr>
              <w:t>神经网络使其能够逼近透射概率的函数关系</w:t>
            </w:r>
            <w:r>
              <w:rPr>
                <w:rFonts w:hint="eastAsia"/>
                <w:bCs/>
              </w:rPr>
              <w:t>；</w:t>
            </w:r>
            <w:r w:rsidRPr="00F842BA">
              <w:rPr>
                <w:rFonts w:hint="eastAsia"/>
                <w:bCs/>
              </w:rPr>
              <w:t>使用</w:t>
            </w:r>
            <w:r w:rsidRPr="00F842BA">
              <w:rPr>
                <w:rFonts w:hint="eastAsia"/>
                <w:bCs/>
              </w:rPr>
              <w:t xml:space="preserve"> Adam </w:t>
            </w:r>
            <w:r w:rsidRPr="00F842BA">
              <w:rPr>
                <w:rFonts w:hint="eastAsia"/>
                <w:bCs/>
              </w:rPr>
              <w:t>或</w:t>
            </w:r>
            <w:r w:rsidRPr="00F842BA">
              <w:rPr>
                <w:rFonts w:hint="eastAsia"/>
                <w:bCs/>
              </w:rPr>
              <w:t xml:space="preserve"> SGD </w:t>
            </w:r>
            <w:r w:rsidRPr="00F842BA">
              <w:rPr>
                <w:rFonts w:hint="eastAsia"/>
                <w:bCs/>
              </w:rPr>
              <w:t>优化器，调节学习率、批量大小等参数，以提高预测精度；</w:t>
            </w:r>
          </w:p>
          <w:p w:rsidR="00F842BA" w:rsidRDefault="00F842BA" w:rsidP="00F842BA">
            <w:pPr>
              <w:numPr>
                <w:ilvl w:val="0"/>
                <w:numId w:val="2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F842BA">
              <w:rPr>
                <w:rFonts w:hint="eastAsia"/>
                <w:bCs/>
              </w:rPr>
              <w:t>用测试集评估模型的预测精度，将</w:t>
            </w:r>
            <w:r>
              <w:rPr>
                <w:rFonts w:hint="eastAsia"/>
                <w:bCs/>
              </w:rPr>
              <w:t>人工</w:t>
            </w:r>
            <w:r w:rsidRPr="00F842BA">
              <w:rPr>
                <w:rFonts w:hint="eastAsia"/>
                <w:bCs/>
              </w:rPr>
              <w:t>神经网络预测的透射概率与理论计算的透射概率进行对比，绘制不同参数下的透射概率曲线</w:t>
            </w:r>
            <w:r>
              <w:rPr>
                <w:rFonts w:hint="eastAsia"/>
                <w:bCs/>
              </w:rPr>
              <w:t>；</w:t>
            </w:r>
          </w:p>
          <w:p w:rsidR="00F842BA" w:rsidRDefault="00F842BA" w:rsidP="00F842BA">
            <w:pPr>
              <w:numPr>
                <w:ilvl w:val="0"/>
                <w:numId w:val="2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F842BA">
              <w:rPr>
                <w:rFonts w:hint="eastAsia"/>
                <w:bCs/>
              </w:rPr>
              <w:t>尝试让神经网络学习更复杂的势场形状（</w:t>
            </w:r>
            <w:r>
              <w:rPr>
                <w:rFonts w:hint="eastAsia"/>
                <w:bCs/>
              </w:rPr>
              <w:t>比</w:t>
            </w:r>
            <w:r w:rsidRPr="00F842BA">
              <w:rPr>
                <w:rFonts w:hint="eastAsia"/>
                <w:bCs/>
              </w:rPr>
              <w:t>如多层势垒）下的透射概率，通过神经网络生成势垒参数和透射概率的映射，以观察网络在高维数据上的表现。</w:t>
            </w:r>
          </w:p>
          <w:p w:rsidR="00F842BA" w:rsidRPr="000E7D6D" w:rsidRDefault="00F842BA" w:rsidP="00F842BA">
            <w:p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项目预期：</w:t>
            </w:r>
            <w:r w:rsidRPr="00F842BA">
              <w:rPr>
                <w:rFonts w:hint="eastAsia"/>
                <w:bCs/>
              </w:rPr>
              <w:t>了解量子隧穿的基本概念，掌握透射概率的物理含义；使用神经网络预测物理参数之间的关系，并评估其在非线性问题上的表现；掌握神经网络的训练、优化和评估方法，分析其在量子力学问题上的应用效果；撰写研究报告，记录神经网络在量子隧穿问题上的表现，并总结其在物理预测中的应用潜力。</w:t>
            </w:r>
          </w:p>
          <w:p w:rsidR="00800721" w:rsidRDefault="00800721" w:rsidP="00CD5EE1">
            <w:pPr>
              <w:shd w:val="solid" w:color="FFFFFF" w:fill="auto"/>
              <w:autoSpaceDN w:val="0"/>
              <w:spacing w:line="315" w:lineRule="atLeast"/>
              <w:ind w:firstLineChars="200" w:firstLine="428"/>
              <w:jc w:val="left"/>
              <w:rPr>
                <w:b/>
              </w:rPr>
            </w:pPr>
          </w:p>
        </w:tc>
      </w:tr>
      <w:tr w:rsidR="00800721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CD5E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理论推导与数值模拟</w:t>
            </w:r>
          </w:p>
        </w:tc>
        <w:tc>
          <w:tcPr>
            <w:tcW w:w="1134" w:type="dxa"/>
            <w:vAlign w:val="center"/>
          </w:tcPr>
          <w:p w:rsidR="00800721" w:rsidRDefault="00CD5E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</w:t>
            </w:r>
            <w:r w:rsidR="000E7D6D">
              <w:rPr>
                <w:rFonts w:hint="eastAsia"/>
                <w:b/>
              </w:rPr>
              <w:t>5</w:t>
            </w:r>
          </w:p>
        </w:tc>
        <w:tc>
          <w:tcPr>
            <w:tcW w:w="3606" w:type="dxa"/>
            <w:vAlign w:val="center"/>
          </w:tcPr>
          <w:p w:rsidR="00800721" w:rsidRDefault="00CD5E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高等数学、</w:t>
            </w:r>
            <w:r w:rsidR="000E7D6D">
              <w:rPr>
                <w:rFonts w:hint="eastAsia"/>
                <w:b/>
              </w:rPr>
              <w:t>Python</w:t>
            </w:r>
            <w:r w:rsidR="00AB55C9">
              <w:rPr>
                <w:rFonts w:hint="eastAsia"/>
                <w:b/>
              </w:rPr>
              <w:t>、英文阅读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391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/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  <w:p w:rsidR="00800721" w:rsidRDefault="00800721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54D6D" w:rsidRDefault="00354D6D" w:rsidP="00BF1A47">
      <w:r>
        <w:separator/>
      </w:r>
    </w:p>
  </w:endnote>
  <w:endnote w:type="continuationSeparator" w:id="0">
    <w:p w:rsidR="00354D6D" w:rsidRDefault="00354D6D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Zhongsong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54D6D" w:rsidRDefault="00354D6D" w:rsidP="00BF1A47">
      <w:r>
        <w:separator/>
      </w:r>
    </w:p>
  </w:footnote>
  <w:footnote w:type="continuationSeparator" w:id="0">
    <w:p w:rsidR="00354D6D" w:rsidRDefault="00354D6D" w:rsidP="00BF1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D6CC2"/>
    <w:multiLevelType w:val="hybridMultilevel"/>
    <w:tmpl w:val="97FABE02"/>
    <w:lvl w:ilvl="0" w:tplc="AD80A53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5057A"/>
    <w:multiLevelType w:val="hybridMultilevel"/>
    <w:tmpl w:val="D0783104"/>
    <w:lvl w:ilvl="0" w:tplc="B67C54A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774682">
    <w:abstractNumId w:val="1"/>
  </w:num>
  <w:num w:numId="2" w16cid:durableId="595866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76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063AD"/>
    <w:rsid w:val="000E7D6D"/>
    <w:rsid w:val="00127422"/>
    <w:rsid w:val="0014300C"/>
    <w:rsid w:val="00170862"/>
    <w:rsid w:val="001D4407"/>
    <w:rsid w:val="00227CD9"/>
    <w:rsid w:val="00261D50"/>
    <w:rsid w:val="00354D6D"/>
    <w:rsid w:val="004104F0"/>
    <w:rsid w:val="004315EF"/>
    <w:rsid w:val="004875FE"/>
    <w:rsid w:val="00491E2F"/>
    <w:rsid w:val="00580FD7"/>
    <w:rsid w:val="00594B32"/>
    <w:rsid w:val="005A2301"/>
    <w:rsid w:val="006343B9"/>
    <w:rsid w:val="007B751C"/>
    <w:rsid w:val="00800721"/>
    <w:rsid w:val="00806F4F"/>
    <w:rsid w:val="00816100"/>
    <w:rsid w:val="00827776"/>
    <w:rsid w:val="0088505F"/>
    <w:rsid w:val="00995C12"/>
    <w:rsid w:val="009B5F7B"/>
    <w:rsid w:val="00AB55C9"/>
    <w:rsid w:val="00AD2DE5"/>
    <w:rsid w:val="00B0779F"/>
    <w:rsid w:val="00B8148D"/>
    <w:rsid w:val="00B82121"/>
    <w:rsid w:val="00BD4608"/>
    <w:rsid w:val="00BF1A47"/>
    <w:rsid w:val="00CD5EE1"/>
    <w:rsid w:val="00F842BA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8B85B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jc w:val="both"/>
    </w:pPr>
    <w:rPr>
      <w:rFonts w:ascii="Calibri" w:hAnsi="Calibri"/>
      <w:kern w:val="2"/>
      <w:sz w:val="21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sz w:val="18"/>
      <w:szCs w:val="18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HeaderChar">
    <w:name w:val="Header Char"/>
    <w:link w:val="Header"/>
    <w:semiHidden/>
    <w:qFormat/>
    <w:rPr>
      <w:sz w:val="18"/>
      <w:szCs w:val="18"/>
    </w:rPr>
  </w:style>
  <w:style w:type="character" w:customStyle="1" w:styleId="FooterChar">
    <w:name w:val="Footer Char"/>
    <w:link w:val="Footer"/>
    <w:semiHidden/>
    <w:qFormat/>
    <w:rPr>
      <w:sz w:val="18"/>
      <w:szCs w:val="18"/>
    </w:rPr>
  </w:style>
  <w:style w:type="character" w:customStyle="1" w:styleId="Heading1Char">
    <w:name w:val="Heading 1 Char"/>
    <w:link w:val="Heading1"/>
    <w:semiHidden/>
    <w:qFormat/>
    <w:rPr>
      <w:b/>
      <w:bCs/>
      <w:kern w:val="44"/>
      <w:sz w:val="44"/>
      <w:szCs w:val="44"/>
    </w:rPr>
  </w:style>
  <w:style w:type="character" w:customStyle="1" w:styleId="SubtitleChar">
    <w:name w:val="Subtitle Char"/>
    <w:link w:val="Subtitle"/>
    <w:semiHidden/>
    <w:qFormat/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BalloonTextChar">
    <w:name w:val="Balloon Text Char"/>
    <w:link w:val="BalloonText"/>
    <w:semiHidden/>
    <w:qFormat/>
    <w:rPr>
      <w:sz w:val="18"/>
      <w:szCs w:val="18"/>
    </w:rPr>
  </w:style>
  <w:style w:type="character" w:styleId="Hyperlink">
    <w:name w:val="Hyperlink"/>
    <w:uiPriority w:val="99"/>
    <w:unhideWhenUsed/>
    <w:rsid w:val="00594B32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94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iphys@nuaa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南京航空航天大学第十六届“中航工业”</vt:lpstr>
    </vt:vector>
  </TitlesOfParts>
  <Company>创意点亮生活，创新引领未来，创业成就梦想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Sean Hsi</cp:lastModifiedBy>
  <cp:revision>14</cp:revision>
  <cp:lastPrinted>2021-11-01T08:37:00Z</cp:lastPrinted>
  <dcterms:created xsi:type="dcterms:W3CDTF">2013-11-22T08:56:00Z</dcterms:created>
  <dcterms:modified xsi:type="dcterms:W3CDTF">2024-11-11T04:05:00Z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